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
        <w:framePr w:wrap="around"/>
        <w:rPr>
          <w:rFonts w:ascii="Times New Roman"/>
          <w:color w:val="auto"/>
        </w:rPr>
      </w:pPr>
      <w:r>
        <w:rPr>
          <w:rFonts w:ascii="Times New Roman"/>
          <w:color w:val="auto"/>
        </w:rPr>
        <w:t>ICS</w:t>
      </w:r>
      <w:bookmarkStart w:id="0" w:name="ICS"/>
      <w:r>
        <w:rPr>
          <w:rFonts w:hint="eastAsia" w:ascii="Times New Roman"/>
          <w:color w:val="auto"/>
          <w:lang w:val="en-US" w:eastAsia="zh-CN"/>
        </w:rPr>
        <w:t xml:space="preserve"> 13.020</w:t>
      </w:r>
      <w:r>
        <w:rPr>
          <w:rFonts w:hint="eastAsia"/>
          <w:color w:val="auto"/>
        </w:rPr>
        <w:t>.10</w:t>
      </w:r>
      <w:bookmarkEnd w:id="0"/>
    </w:p>
    <w:p>
      <w:pPr>
        <w:pStyle w:val="137"/>
        <w:framePr w:wrap="around"/>
        <w:rPr>
          <w:rFonts w:ascii="Times New Roman"/>
          <w:color w:val="auto"/>
        </w:rPr>
      </w:pPr>
      <w:bookmarkStart w:id="1" w:name="WXFLH"/>
      <w:r>
        <w:rPr>
          <w:rFonts w:hint="eastAsia"/>
          <w:color w:val="auto"/>
          <w:lang w:val="en-US" w:eastAsia="zh-CN"/>
        </w:rPr>
        <w:t xml:space="preserve">CCS </w:t>
      </w:r>
      <w:r>
        <w:rPr>
          <w:color w:val="auto"/>
        </w:rPr>
        <w:t>Z</w:t>
      </w:r>
      <w:r>
        <w:rPr>
          <w:rFonts w:hint="eastAsia"/>
          <w:color w:val="auto"/>
          <w:lang w:val="en-US" w:eastAsia="zh-CN"/>
        </w:rPr>
        <w:t xml:space="preserve"> </w:t>
      </w:r>
      <w:r>
        <w:rPr>
          <w:rFonts w:hint="eastAsia"/>
          <w:color w:val="auto"/>
        </w:rPr>
        <w:t>04</w:t>
      </w:r>
      <w:bookmarkEnd w:id="1"/>
    </w:p>
    <w:p>
      <w:pPr>
        <w:pStyle w:val="80"/>
        <w:framePr w:wrap="around"/>
        <w:rPr>
          <w:color w:val="auto"/>
        </w:rPr>
      </w:pPr>
      <w:r>
        <w:rPr>
          <w:color w:val="auto"/>
        </w:rPr>
        <w:drawing>
          <wp:inline distT="0" distB="0" distL="0" distR="0">
            <wp:extent cx="1438275" cy="714375"/>
            <wp:effectExtent l="0" t="0" r="9525" b="9525"/>
            <wp:docPr id="61" name="图片 6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GB"/>
                    <pic:cNvPicPr>
                      <a:picLocks noChangeAspect="1" noChangeArrowheads="1"/>
                    </pic:cNvPicPr>
                  </pic:nvPicPr>
                  <pic:blipFill>
                    <a:blip r:embed="rId16" cstate="print"/>
                    <a:srcRect/>
                    <a:stretch>
                      <a:fillRect/>
                    </a:stretch>
                  </pic:blipFill>
                  <pic:spPr>
                    <a:xfrm>
                      <a:off x="0" y="0"/>
                      <a:ext cx="1438275" cy="714375"/>
                    </a:xfrm>
                    <a:prstGeom prst="rect">
                      <a:avLst/>
                    </a:prstGeom>
                    <a:noFill/>
                    <a:ln w="9525">
                      <a:noFill/>
                      <a:miter lim="800000"/>
                      <a:headEnd/>
                      <a:tailEnd/>
                    </a:ln>
                  </pic:spPr>
                </pic:pic>
              </a:graphicData>
            </a:graphic>
          </wp:inline>
        </w:drawing>
      </w:r>
    </w:p>
    <w:p>
      <w:pPr>
        <w:pStyle w:val="81"/>
        <w:framePr w:wrap="around"/>
        <w:rPr>
          <w:rFonts w:ascii="Times New Roman"/>
          <w:color w:val="auto"/>
        </w:rPr>
      </w:pPr>
      <w:r>
        <w:rPr>
          <w:rFonts w:hint="eastAsia" w:ascii="Times New Roman"/>
          <w:color w:val="auto"/>
        </w:rPr>
        <w:t>中华人民共和国国家标准</w:t>
      </w:r>
    </w:p>
    <w:p>
      <w:pPr>
        <w:pStyle w:val="61"/>
        <w:framePr w:wrap="around"/>
        <w:rPr>
          <w:rFonts w:ascii="Times New Roman"/>
          <w:color w:val="auto"/>
          <w:lang w:val="fr-FR"/>
        </w:rPr>
      </w:pPr>
      <w:r>
        <w:rPr>
          <w:rFonts w:ascii="Times New Roman"/>
          <w:color w:val="auto"/>
          <w:lang w:val="fr-FR"/>
        </w:rPr>
        <w:t xml:space="preserve">GB/T </w:t>
      </w:r>
      <w:bookmarkStart w:id="2" w:name="StdNo1"/>
      <w:r>
        <w:rPr>
          <w:rFonts w:ascii="Times New Roman"/>
          <w:color w:val="auto"/>
        </w:rPr>
        <w:fldChar w:fldCharType="begin">
          <w:ffData>
            <w:name w:val="StdNo1"/>
            <w:enabled/>
            <w:calcOnExit w:val="0"/>
            <w:textInput>
              <w:default w:val="XXXXX"/>
            </w:textInput>
          </w:ffData>
        </w:fldChar>
      </w:r>
      <w:r>
        <w:rPr>
          <w:rFonts w:ascii="Times New Roman"/>
          <w:color w:val="auto"/>
          <w:lang w:val="fr-FR"/>
        </w:rPr>
        <w:instrText xml:space="preserve"> FORMTEXT </w:instrText>
      </w:r>
      <w:r>
        <w:rPr>
          <w:rFonts w:ascii="Times New Roman"/>
          <w:color w:val="auto"/>
        </w:rPr>
        <w:fldChar w:fldCharType="separate"/>
      </w:r>
      <w:r>
        <w:rPr>
          <w:rFonts w:ascii="Times New Roman"/>
          <w:color w:val="auto"/>
          <w:lang w:val="fr-FR"/>
        </w:rPr>
        <w:t>XXXXX</w:t>
      </w:r>
      <w:r>
        <w:rPr>
          <w:rFonts w:ascii="Times New Roman"/>
          <w:color w:val="auto"/>
        </w:rPr>
        <w:fldChar w:fldCharType="end"/>
      </w:r>
      <w:bookmarkEnd w:id="2"/>
      <w:r>
        <w:rPr>
          <w:rFonts w:ascii="Times New Roman"/>
          <w:color w:val="auto"/>
          <w:lang w:val="fr-FR"/>
        </w:rPr>
        <w:t>—</w:t>
      </w:r>
      <w:r>
        <w:rPr>
          <w:rFonts w:ascii="Times New Roman"/>
          <w:color w:val="auto"/>
        </w:rPr>
        <w:fldChar w:fldCharType="begin">
          <w:ffData>
            <w:name w:val="StdNo2"/>
            <w:enabled/>
            <w:calcOnExit w:val="0"/>
            <w:textInput>
              <w:default w:val="XXXX"/>
              <w:maxLength w:val="4"/>
            </w:textInput>
          </w:ffData>
        </w:fldChar>
      </w:r>
      <w:r>
        <w:rPr>
          <w:rFonts w:ascii="Times New Roman"/>
          <w:color w:val="auto"/>
          <w:lang w:val="fr-FR"/>
        </w:rPr>
        <w:instrText xml:space="preserve"> FORMTEXT </w:instrText>
      </w:r>
      <w:r>
        <w:rPr>
          <w:rFonts w:ascii="Times New Roman"/>
          <w:color w:val="auto"/>
        </w:rPr>
        <w:fldChar w:fldCharType="separate"/>
      </w:r>
      <w:r>
        <w:rPr>
          <w:rFonts w:ascii="Times New Roman"/>
          <w:color w:val="auto"/>
          <w:lang w:val="fr-FR"/>
        </w:rPr>
        <w:t>XXXX</w:t>
      </w:r>
      <w:r>
        <w:rPr>
          <w:rFonts w:ascii="Times New Roman"/>
          <w:color w:val="auto"/>
        </w:rPr>
        <w:fldChar w:fldCharType="end"/>
      </w: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90"/>
              <w:framePr w:wrap="around"/>
              <w:widowControl w:val="0"/>
              <w:rPr>
                <w:rFonts w:ascii="Times New Roman"/>
                <w:color w:val="auto"/>
              </w:rPr>
            </w:pPr>
            <w:r>
              <w:rPr>
                <w:rFonts w:ascii="Times New Roman"/>
                <w:color w:val="auto"/>
              </w:rPr>
              <w:fldChar w:fldCharType="begin">
                <w:ffData>
                  <w:name w:val="DT"/>
                  <w:enabled/>
                  <w:calcOnExit w:val="0"/>
                  <w:entryMacro w:val="ShowHelp4"/>
                  <w:textInput/>
                </w:ffData>
              </w:fldChar>
            </w:r>
            <w:r>
              <w:rPr>
                <w:rFonts w:ascii="Times New Roman"/>
                <w:color w:val="auto"/>
              </w:rPr>
              <w:instrText xml:space="preserve"> FORMTEXT </w:instrText>
            </w:r>
            <w:r>
              <w:rPr>
                <w:rFonts w:ascii="Times New Roman"/>
                <w:color w:val="auto"/>
              </w:rPr>
              <w:fldChar w:fldCharType="separate"/>
            </w:r>
            <w:r>
              <w:rPr>
                <w:rFonts w:ascii="Times New Roman"/>
                <w:color w:val="auto"/>
              </w:rPr>
              <w:t>     </w:t>
            </w:r>
            <w:r>
              <w:rPr>
                <w:rFonts w:ascii="Times New Roman"/>
                <w:color w:val="auto"/>
              </w:rPr>
              <w:fldChar w:fldCharType="end"/>
            </w:r>
          </w:p>
        </w:tc>
      </w:tr>
    </w:tbl>
    <w:p>
      <w:pPr>
        <w:pStyle w:val="61"/>
        <w:framePr w:wrap="around"/>
        <w:rPr>
          <w:rFonts w:ascii="Times New Roman"/>
          <w:color w:val="auto"/>
        </w:rPr>
      </w:pPr>
      <w:r>
        <w:rPr>
          <w:rFonts w:ascii="Times New Roman"/>
          <w:color w:val="auto"/>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134620</wp:posOffset>
                </wp:positionV>
                <wp:extent cx="1143000" cy="228600"/>
                <wp:effectExtent l="0" t="0" r="0" b="0"/>
                <wp:wrapNone/>
                <wp:docPr id="62"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10.6pt;height:18pt;width:90pt;z-index:-251655168;mso-width-relative:page;mso-height-relative:page;" fillcolor="#FFFFFF" filled="t" stroked="f" coordsize="21600,21600" o:gfxdata="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WUyjm1wAAAAkBAAAPAAAAAAAAAAEAIAAAACIA&#10;AABkcnMvZG93bnJldi54bWxQSwECFAAUAAAACACHTuJAlnglsQoCAAAhBAAADgAAAAAAAAABACAA&#10;AAAmAQAAZHJzL2Uyb0RvYy54bWxQSwUGAAAAAAYABgBZAQAAogUAAAAA&#10;">
                <v:fill on="t" focussize="0,0"/>
                <v:stroke on="f"/>
                <v:imagedata o:title=""/>
                <o:lock v:ext="edit" aspectratio="f"/>
              </v:rect>
            </w:pict>
          </mc:Fallback>
        </mc:AlternateContent>
      </w:r>
    </w:p>
    <w:p>
      <w:pPr>
        <w:pStyle w:val="61"/>
        <w:framePr w:wrap="around"/>
        <w:rPr>
          <w:rFonts w:ascii="Times New Roman"/>
          <w:color w:val="auto"/>
        </w:rPr>
      </w:pPr>
    </w:p>
    <w:p>
      <w:pPr>
        <w:pStyle w:val="92"/>
        <w:framePr w:wrap="around"/>
        <w:rPr>
          <w:rFonts w:ascii="Times New Roman"/>
          <w:color w:val="auto"/>
        </w:rPr>
      </w:pPr>
      <w:r>
        <w:rPr>
          <w:rFonts w:hint="eastAsia" w:ascii="Times New Roman"/>
          <w:color w:val="auto"/>
          <w:lang w:val="en-US" w:eastAsia="zh-CN"/>
        </w:rPr>
        <w:t>温室气体排放</w:t>
      </w:r>
      <w:r>
        <w:rPr>
          <w:rFonts w:hint="eastAsia" w:ascii="Times New Roman"/>
          <w:color w:val="auto"/>
        </w:rPr>
        <w:t>核算与报告要求</w:t>
      </w:r>
      <w:r>
        <w:rPr>
          <w:rFonts w:ascii="Times New Roman"/>
          <w:color w:val="auto"/>
        </w:rPr>
        <w:t xml:space="preserve">  </w:t>
      </w:r>
    </w:p>
    <w:p>
      <w:pPr>
        <w:pStyle w:val="92"/>
        <w:framePr w:wrap="around"/>
        <w:rPr>
          <w:rFonts w:ascii="Times New Roman"/>
          <w:color w:val="auto"/>
        </w:rPr>
      </w:pPr>
      <w:r>
        <w:rPr>
          <w:rFonts w:hint="eastAsia" w:ascii="Times New Roman"/>
          <w:color w:val="auto"/>
        </w:rPr>
        <w:t>第X</w:t>
      </w:r>
      <w:r>
        <w:rPr>
          <w:rFonts w:ascii="Times New Roman"/>
          <w:color w:val="auto"/>
        </w:rPr>
        <w:t>部分：</w:t>
      </w:r>
      <w:r>
        <w:rPr>
          <w:rFonts w:hint="eastAsia" w:ascii="Times New Roman"/>
          <w:color w:val="auto"/>
        </w:rPr>
        <w:t>玻璃纤维及制品生产企业</w:t>
      </w:r>
    </w:p>
    <w:p>
      <w:pPr>
        <w:pStyle w:val="93"/>
        <w:framePr w:wrap="around"/>
        <w:rPr>
          <w:color w:val="auto"/>
        </w:rPr>
      </w:pPr>
      <w:r>
        <w:rPr>
          <w:color w:val="auto"/>
        </w:rPr>
        <w:t>Requirement</w:t>
      </w:r>
      <w:r>
        <w:rPr>
          <w:rFonts w:hint="eastAsia"/>
          <w:color w:val="auto"/>
        </w:rPr>
        <w:t>s</w:t>
      </w:r>
      <w:r>
        <w:rPr>
          <w:color w:val="auto"/>
        </w:rPr>
        <w:t xml:space="preserve"> of the greenhouse gas emission accounting and reporting</w:t>
      </w:r>
      <w:r>
        <w:rPr>
          <w:rFonts w:hint="eastAsia"/>
          <w:color w:val="auto"/>
        </w:rPr>
        <w:t>—</w:t>
      </w:r>
    </w:p>
    <w:p>
      <w:pPr>
        <w:pStyle w:val="93"/>
        <w:framePr w:wrap="around"/>
        <w:rPr>
          <w:color w:val="auto"/>
        </w:rPr>
      </w:pPr>
      <w:r>
        <w:rPr>
          <w:rFonts w:hint="eastAsia"/>
          <w:color w:val="auto"/>
        </w:rPr>
        <w:t>P</w:t>
      </w:r>
      <w:r>
        <w:rPr>
          <w:color w:val="auto"/>
        </w:rPr>
        <w:t>art</w:t>
      </w:r>
      <w:r>
        <w:rPr>
          <w:rFonts w:hint="eastAsia"/>
          <w:color w:val="auto"/>
        </w:rPr>
        <w:t xml:space="preserve"> X</w:t>
      </w:r>
      <w:r>
        <w:rPr>
          <w:color w:val="auto"/>
        </w:rPr>
        <w:t xml:space="preserve">: </w:t>
      </w:r>
      <w:r>
        <w:rPr>
          <w:rFonts w:hint="eastAsia"/>
          <w:color w:val="auto"/>
        </w:rPr>
        <w:t>Glass fibre and products</w:t>
      </w:r>
      <w:r>
        <w:rPr>
          <w:color w:val="auto"/>
        </w:rPr>
        <w:t xml:space="preserve"> enterprise</w:t>
      </w:r>
    </w:p>
    <w:p>
      <w:pPr>
        <w:pStyle w:val="94"/>
        <w:framePr w:wrap="around"/>
        <w:rPr>
          <w:rFonts w:ascii="Times New Roman"/>
          <w:color w:val="auto"/>
        </w:rPr>
      </w:pPr>
      <w:r>
        <w:rPr>
          <w:rFonts w:ascii="Times New Roman"/>
          <w:color w:val="auto"/>
        </w:rPr>
        <w:fldChar w:fldCharType="begin">
          <w:ffData>
            <w:name w:val="YZBS"/>
            <w:enabled/>
            <w:calcOnExit w:val="0"/>
            <w:textInput>
              <w:default w:val="点击此处添加与国际标准一致性程度的标识"/>
            </w:textInput>
          </w:ffData>
        </w:fldChar>
      </w:r>
      <w:r>
        <w:rPr>
          <w:rFonts w:ascii="Times New Roman"/>
          <w:color w:val="auto"/>
        </w:rPr>
        <w:instrText xml:space="preserve"> FORMTEXT </w:instrText>
      </w:r>
      <w:r>
        <w:rPr>
          <w:rFonts w:ascii="Times New Roman"/>
          <w:color w:val="auto"/>
        </w:rPr>
        <w:fldChar w:fldCharType="separate"/>
      </w:r>
      <w:r>
        <w:rPr>
          <w:rFonts w:hint="eastAsia" w:ascii="Times New Roman"/>
          <w:color w:val="auto"/>
        </w:rPr>
        <w:t>点击此处添加与国际标准一致性程度的标识</w:t>
      </w:r>
      <w:r>
        <w:rPr>
          <w:rFonts w:ascii="Times New Roman"/>
          <w:color w:val="auto"/>
        </w:rPr>
        <w:fldChar w:fldCharType="end"/>
      </w: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95"/>
              <w:framePr w:wrap="around"/>
              <w:rPr>
                <w:rFonts w:ascii="Times New Roman"/>
                <w:color w:val="auto"/>
              </w:rPr>
            </w:pPr>
            <w:r>
              <w:rPr>
                <w:rFonts w:ascii="Times New Roman"/>
                <w:color w:val="auto"/>
              </w:rP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4278630</wp:posOffset>
                      </wp:positionV>
                      <wp:extent cx="1270000" cy="304800"/>
                      <wp:effectExtent l="0" t="0" r="0" b="0"/>
                      <wp:wrapNone/>
                      <wp:docPr id="63"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336.9pt;height:24pt;width:100pt;z-index:-251654144;mso-width-relative:page;mso-height-relative:page;" fillcolor="#FFFFFF" filled="t" stroked="f" coordsize="21600,21600" o:gfxdata="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gnvkNgAAAALAQAADwAAAAAAAAABACAAAAAi&#10;AAAAZHJzL2Rvd25yZXYueG1sUEsBAhQAFAAAAAgAh07iQNcH7EcKAgAAIQQAAA4AAAAAAAAAAQAg&#10;AAAAJwEAAGRycy9lMm9Eb2MueG1sUEsFBgAAAAAGAAYAWQEAAKMFAAAAAA==&#10;">
                      <v:fill on="t" focussize="0,0"/>
                      <v:stroke on="f"/>
                      <v:imagedata o:title=""/>
                      <o:lock v:ext="edit" aspectratio="f"/>
                    </v:rect>
                  </w:pict>
                </mc:Fallback>
              </mc:AlternateContent>
            </w:r>
            <w:r>
              <w:rPr>
                <w:rFonts w:hint="eastAsia" w:ascii="Times New Roman"/>
                <w:color w:val="auto"/>
              </w:rPr>
              <w:t>（草案）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96"/>
              <w:framePr w:wrap="around"/>
              <w:rPr>
                <w:rFonts w:ascii="Times New Roman"/>
                <w:color w:val="auto"/>
              </w:rPr>
            </w:pPr>
          </w:p>
        </w:tc>
      </w:tr>
    </w:tbl>
    <w:p>
      <w:pPr>
        <w:pStyle w:val="144"/>
        <w:framePr w:wrap="around" w:hAnchor="page" w:x="1209" w:y="14140"/>
        <w:rPr>
          <w:color w:val="auto"/>
        </w:rPr>
      </w:pPr>
      <w:r>
        <w:rPr>
          <w:color w:val="auto"/>
        </w:rPr>
        <w:fldChar w:fldCharType="begin">
          <w:ffData>
            <w:name w:val="FY"/>
            <w:enabled/>
            <w:calcOnExit w:val="0"/>
            <w:entryMacro w:val="ShowHelp8"/>
            <w:textInput>
              <w:default w:val="XXXX"/>
              <w:maxLength w:val="4"/>
            </w:textInput>
          </w:ffData>
        </w:fldChar>
      </w:r>
      <w:r>
        <w:rPr>
          <w:color w:val="auto"/>
        </w:rPr>
        <w:instrText xml:space="preserve"> FORMTEXT </w:instrText>
      </w:r>
      <w:r>
        <w:rPr>
          <w:color w:val="auto"/>
        </w:rPr>
        <w:fldChar w:fldCharType="separate"/>
      </w:r>
      <w:r>
        <w:rPr>
          <w:color w:val="auto"/>
        </w:rPr>
        <w:t>XXXX</w:t>
      </w:r>
      <w:r>
        <w:rPr>
          <w:color w:val="auto"/>
        </w:rPr>
        <w:fldChar w:fldCharType="end"/>
      </w:r>
      <w:r>
        <w:rPr>
          <w:color w:val="auto"/>
        </w:rPr>
        <w:t xml:space="preserve"> - </w:t>
      </w:r>
      <w:bookmarkStart w:id="3" w:name="FM"/>
      <w:r>
        <w:rPr>
          <w:color w:val="auto"/>
        </w:rPr>
        <w:fldChar w:fldCharType="begin">
          <w:ffData>
            <w:name w:val="FM"/>
            <w:enabled/>
            <w:calcOnExit w:val="0"/>
            <w:entryMacro w:val="ShowHelp8"/>
            <w:textInput>
              <w:default w:val="XX"/>
              <w:maxLength w:val="2"/>
            </w:textInput>
          </w:ffData>
        </w:fldChar>
      </w:r>
      <w:r>
        <w:rPr>
          <w:color w:val="auto"/>
        </w:rPr>
        <w:instrText xml:space="preserve"> FORMTEXT </w:instrText>
      </w:r>
      <w:r>
        <w:rPr>
          <w:color w:val="auto"/>
        </w:rPr>
        <w:fldChar w:fldCharType="separate"/>
      </w:r>
      <w:r>
        <w:rPr>
          <w:color w:val="auto"/>
        </w:rPr>
        <w:t>XX</w:t>
      </w:r>
      <w:r>
        <w:rPr>
          <w:color w:val="auto"/>
        </w:rPr>
        <w:fldChar w:fldCharType="end"/>
      </w:r>
      <w:bookmarkEnd w:id="3"/>
      <w:r>
        <w:rPr>
          <w:color w:val="auto"/>
        </w:rPr>
        <w:t xml:space="preserve"> - </w:t>
      </w:r>
      <w:r>
        <w:rPr>
          <w:color w:val="auto"/>
        </w:rPr>
        <w:fldChar w:fldCharType="begin">
          <w:ffData>
            <w:name w:val="FD"/>
            <w:enabled/>
            <w:calcOnExit w:val="0"/>
            <w:entryMacro w:val="ShowHelp8"/>
            <w:textInput>
              <w:default w:val="XX"/>
              <w:maxLength w:val="2"/>
            </w:textInput>
          </w:ffData>
        </w:fldChar>
      </w:r>
      <w:r>
        <w:rPr>
          <w:color w:val="auto"/>
        </w:rPr>
        <w:instrText xml:space="preserve"> FORMTEXT </w:instrText>
      </w:r>
      <w:r>
        <w:rPr>
          <w:color w:val="auto"/>
        </w:rPr>
        <w:fldChar w:fldCharType="separate"/>
      </w:r>
      <w:r>
        <w:rPr>
          <w:color w:val="auto"/>
        </w:rPr>
        <w:t>XX</w:t>
      </w:r>
      <w:r>
        <w:rPr>
          <w:color w:val="auto"/>
        </w:rPr>
        <w:fldChar w:fldCharType="end"/>
      </w:r>
      <w:r>
        <w:rPr>
          <w:rFonts w:hint="eastAsia"/>
          <w:color w:val="auto"/>
        </w:rPr>
        <w:t>发布</w:t>
      </w:r>
      <w:r>
        <w:rPr>
          <w:color w:val="auto"/>
        </w:rPr>
        <mc:AlternateContent>
          <mc:Choice Requires="wps">
            <w:drawing>
              <wp:anchor distT="0" distB="0" distL="114300" distR="114300" simplePos="0" relativeHeight="251660288" behindDoc="0" locked="1" layoutInCell="1" allowOverlap="1">
                <wp:simplePos x="0" y="0"/>
                <wp:positionH relativeFrom="column">
                  <wp:posOffset>-66675</wp:posOffset>
                </wp:positionH>
                <wp:positionV relativeFrom="page">
                  <wp:posOffset>9274810</wp:posOffset>
                </wp:positionV>
                <wp:extent cx="6120130" cy="0"/>
                <wp:effectExtent l="0" t="4445" r="0" b="5080"/>
                <wp:wrapNone/>
                <wp:docPr id="64"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5.25pt;margin-top:730.3pt;height:0pt;width:481.9pt;mso-position-vertical-relative:page;z-index:251660288;mso-width-relative:page;mso-height-relative:page;" filled="f" stroked="t" coordsize="21600,21600" o:gfxdata="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IDxag1wAAAA0BAAAPAAAAAAAAAAEAIAAAACIAAABkcnMv&#10;ZG93bnJldi54bWxQSwECFAAUAAAACACHTuJAExqmnMsBAAChAwAADgAAAAAAAAABACAAAAAmAQAA&#10;ZHJzL2Uyb0RvYy54bWxQSwUGAAAAAAYABgBZAQAAYwUAAAAA&#10;">
                <v:fill on="f" focussize="0,0"/>
                <v:stroke color="#000000" joinstyle="round"/>
                <v:imagedata o:title=""/>
                <o:lock v:ext="edit" aspectratio="f"/>
                <w10:anchorlock/>
              </v:line>
            </w:pict>
          </mc:Fallback>
        </mc:AlternateContent>
      </w:r>
    </w:p>
    <w:p>
      <w:pPr>
        <w:pStyle w:val="145"/>
        <w:framePr w:wrap="around" w:hAnchor="page" w:x="6564" w:y="14140"/>
        <w:rPr>
          <w:color w:val="auto"/>
        </w:rPr>
      </w:pPr>
      <w:r>
        <w:rPr>
          <w:color w:val="auto"/>
        </w:rPr>
        <w:fldChar w:fldCharType="begin">
          <w:ffData>
            <w:name w:val="SY"/>
            <w:enabled/>
            <w:calcOnExit w:val="0"/>
            <w:entryMacro w:val="ShowHelp9"/>
            <w:textInput>
              <w:default w:val="XXXX"/>
              <w:maxLength w:val="4"/>
            </w:textInput>
          </w:ffData>
        </w:fldChar>
      </w:r>
      <w:r>
        <w:rPr>
          <w:color w:val="auto"/>
        </w:rPr>
        <w:instrText xml:space="preserve"> FORMTEXT </w:instrText>
      </w:r>
      <w:r>
        <w:rPr>
          <w:color w:val="auto"/>
        </w:rPr>
        <w:fldChar w:fldCharType="separate"/>
      </w:r>
      <w:r>
        <w:rPr>
          <w:color w:val="auto"/>
        </w:rPr>
        <w:t>XXXX</w:t>
      </w:r>
      <w:r>
        <w:rPr>
          <w:color w:val="auto"/>
        </w:rPr>
        <w:fldChar w:fldCharType="end"/>
      </w:r>
      <w:r>
        <w:rPr>
          <w:color w:val="auto"/>
        </w:rPr>
        <w:t xml:space="preserve"> - </w:t>
      </w:r>
      <w:r>
        <w:rPr>
          <w:color w:val="auto"/>
        </w:rPr>
        <w:fldChar w:fldCharType="begin">
          <w:ffData>
            <w:name w:val="SM"/>
            <w:enabled/>
            <w:calcOnExit w:val="0"/>
            <w:entryMacro w:val="ShowHelp9"/>
            <w:textInput>
              <w:default w:val="XX"/>
              <w:maxLength w:val="2"/>
            </w:textInput>
          </w:ffData>
        </w:fldChar>
      </w:r>
      <w:r>
        <w:rPr>
          <w:color w:val="auto"/>
        </w:rPr>
        <w:instrText xml:space="preserve"> FORMTEXT </w:instrText>
      </w:r>
      <w:r>
        <w:rPr>
          <w:color w:val="auto"/>
        </w:rPr>
        <w:fldChar w:fldCharType="separate"/>
      </w:r>
      <w:r>
        <w:rPr>
          <w:color w:val="auto"/>
        </w:rPr>
        <w:t>XX</w:t>
      </w:r>
      <w:r>
        <w:rPr>
          <w:color w:val="auto"/>
        </w:rPr>
        <w:fldChar w:fldCharType="end"/>
      </w:r>
      <w:r>
        <w:rPr>
          <w:color w:val="auto"/>
        </w:rPr>
        <w:t xml:space="preserve"> - </w:t>
      </w:r>
      <w:r>
        <w:rPr>
          <w:color w:val="auto"/>
        </w:rPr>
        <w:fldChar w:fldCharType="begin">
          <w:ffData>
            <w:name w:val="SM"/>
            <w:enabled/>
            <w:calcOnExit w:val="0"/>
            <w:entryMacro w:val="ShowHelp9"/>
            <w:textInput>
              <w:default w:val="XX"/>
              <w:maxLength w:val="2"/>
            </w:textInput>
          </w:ffData>
        </w:fldChar>
      </w:r>
      <w:r>
        <w:rPr>
          <w:color w:val="auto"/>
        </w:rPr>
        <w:instrText xml:space="preserve"> FORMTEXT </w:instrText>
      </w:r>
      <w:r>
        <w:rPr>
          <w:color w:val="auto"/>
        </w:rPr>
        <w:fldChar w:fldCharType="separate"/>
      </w:r>
      <w:r>
        <w:rPr>
          <w:color w:val="auto"/>
        </w:rPr>
        <w:t>XX</w:t>
      </w:r>
      <w:r>
        <w:rPr>
          <w:color w:val="auto"/>
        </w:rPr>
        <w:fldChar w:fldCharType="end"/>
      </w:r>
      <w:r>
        <w:rPr>
          <w:rFonts w:hint="eastAsia"/>
          <w:color w:val="auto"/>
        </w:rPr>
        <w:t>实施</w:t>
      </w:r>
    </w:p>
    <w:p>
      <w:pPr>
        <w:pStyle w:val="88"/>
        <w:framePr w:wrap="around" w:x="2254" w:y="14764"/>
        <w:rPr>
          <w:rFonts w:ascii="Times New Roman"/>
          <w:color w:val="auto"/>
        </w:rPr>
      </w:pPr>
      <w:r>
        <w:rPr>
          <w:rFonts w:ascii="Times New Roman"/>
          <w:color w:val="auto"/>
          <w:w w:val="100"/>
        </w:rPr>
        <mc:AlternateContent>
          <mc:Choice Requires="wps">
            <w:drawing>
              <wp:anchor distT="0" distB="0" distL="114300" distR="114300" simplePos="0" relativeHeight="251663360" behindDoc="1" locked="1" layoutInCell="1" allowOverlap="1">
                <wp:simplePos x="0" y="0"/>
                <wp:positionH relativeFrom="column">
                  <wp:posOffset>1556385</wp:posOffset>
                </wp:positionH>
                <wp:positionV relativeFrom="paragraph">
                  <wp:posOffset>-2879090</wp:posOffset>
                </wp:positionV>
                <wp:extent cx="1905000" cy="254000"/>
                <wp:effectExtent l="0" t="0" r="0" b="0"/>
                <wp:wrapNone/>
                <wp:docPr id="65"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22.55pt;margin-top:-226.7pt;height:20pt;width:150pt;z-index:-251653120;mso-width-relative:page;mso-height-relative:page;" fillcolor="#FFFFFF" filled="t" stroked="f" coordsize="21600,21600" o:gfxdata="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RqVHNgAAAANAQAADwAAAAAAAAABACAAAAAi&#10;AAAAZHJzL2Rvd25yZXYueG1sUEsBAhQAFAAAAAgAh07iQIBklKIKAgAAIQQAAA4AAAAAAAAAAQAg&#10;AAAAJwEAAGRycy9lMm9Eb2MueG1sUEsFBgAAAAAGAAYAWQEAAKMFAAAAAA==&#10;">
                <v:fill on="t" focussize="0,0"/>
                <v:stroke on="f"/>
                <v:imagedata o:title=""/>
                <o:lock v:ext="edit" aspectratio="f"/>
                <w10:anchorlock/>
              </v:rect>
            </w:pict>
          </mc:Fallback>
        </mc:AlternateContent>
      </w:r>
      <w:r>
        <w:rPr>
          <w:color w:val="auto"/>
        </w:rPr>
        <w:drawing>
          <wp:inline distT="0" distB="0" distL="114300" distR="114300">
            <wp:extent cx="3033395" cy="539115"/>
            <wp:effectExtent l="0" t="0" r="1905" b="6985"/>
            <wp:docPr id="6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34"/>
                    <pic:cNvPicPr>
                      <a:picLocks noChangeAspect="1"/>
                    </pic:cNvPicPr>
                  </pic:nvPicPr>
                  <pic:blipFill>
                    <a:blip r:embed="rId17"/>
                    <a:stretch>
                      <a:fillRect/>
                    </a:stretch>
                  </pic:blipFill>
                  <pic:spPr>
                    <a:xfrm>
                      <a:off x="0" y="0"/>
                      <a:ext cx="3033395" cy="539115"/>
                    </a:xfrm>
                    <a:prstGeom prst="rect">
                      <a:avLst/>
                    </a:prstGeom>
                    <a:noFill/>
                    <a:ln>
                      <a:noFill/>
                    </a:ln>
                  </pic:spPr>
                </pic:pic>
              </a:graphicData>
            </a:graphic>
          </wp:inline>
        </w:drawing>
      </w:r>
    </w:p>
    <w:p>
      <w:pPr>
        <w:pStyle w:val="26"/>
        <w:autoSpaceDE/>
        <w:autoSpaceDN/>
        <w:rPr>
          <w:color w:val="auto"/>
        </w:rPr>
        <w:sectPr>
          <w:headerReference r:id="rId4" w:type="even"/>
          <w:footerReference r:id="rId5" w:type="even"/>
          <w:pgSz w:w="11906" w:h="16838"/>
          <w:pgMar w:top="567" w:right="1134" w:bottom="1134" w:left="1417" w:header="0" w:footer="0" w:gutter="0"/>
          <w:pgNumType w:fmt="decimal" w:start="1"/>
          <w:cols w:space="720" w:num="1"/>
          <w:docGrid w:type="lines" w:linePitch="312" w:charSpace="0"/>
        </w:sectPr>
      </w:pPr>
      <w:r>
        <w:rPr>
          <w:color w:val="auto"/>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2339340</wp:posOffset>
                </wp:positionV>
                <wp:extent cx="6120130" cy="0"/>
                <wp:effectExtent l="0" t="0" r="0" b="0"/>
                <wp:wrapNone/>
                <wp:docPr id="55"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pt;height:0pt;width:481.9pt;z-index:251659264;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dbwCNcAAAAJAQAADwAAAAAAAAABACAAAAAiAAAAZHJzL2Rv&#10;d25yZXYueG1sUEsBAhQAFAAAAAgAh07iQFmapffJAQAAoQMAAA4AAAAAAAAAAQAgAAAAJgEAAGRy&#10;cy9lMm9Eb2MueG1sUEsFBgAAAAAGAAYAWQEAAGEFAAAAAA==&#10;">
                <v:fill on="f" focussize="0,0"/>
                <v:stroke color="#000000" joinstyle="round"/>
                <v:imagedata o:title=""/>
                <o:lock v:ext="edit" aspectratio="f"/>
              </v:line>
            </w:pict>
          </mc:Fallback>
        </mc:AlternateContent>
      </w:r>
    </w:p>
    <w:p>
      <w:pPr>
        <w:jc w:val="center"/>
        <w:rPr>
          <w:color w:val="auto"/>
          <w:sz w:val="32"/>
          <w:szCs w:val="32"/>
        </w:rPr>
      </w:pPr>
      <w:bookmarkStart w:id="4" w:name="_Toc527101434"/>
      <w:r>
        <w:rPr>
          <w:rFonts w:ascii="宋体" w:hAnsi="宋体"/>
          <w:color w:val="auto"/>
          <w:sz w:val="32"/>
          <w:szCs w:val="32"/>
        </w:rPr>
        <w:t>目</w:t>
      </w:r>
      <w:r>
        <w:rPr>
          <w:rFonts w:hint="eastAsia" w:ascii="宋体" w:hAnsi="宋体"/>
          <w:color w:val="auto"/>
          <w:sz w:val="32"/>
          <w:szCs w:val="32"/>
        </w:rPr>
        <w:t xml:space="preserve">  次</w:t>
      </w:r>
    </w:p>
    <w:p>
      <w:pPr>
        <w:pStyle w:val="22"/>
        <w:tabs>
          <w:tab w:val="right" w:leader="dot" w:pos="9638"/>
          <w:tab w:val="clear" w:pos="9242"/>
        </w:tabs>
      </w:pPr>
      <w:r>
        <w:rPr>
          <w:color w:val="auto"/>
        </w:rPr>
        <w:fldChar w:fldCharType="begin"/>
      </w:r>
      <w:r>
        <w:rPr>
          <w:color w:val="auto"/>
        </w:rPr>
        <w:instrText xml:space="preserve">TOC \o "1-3" \h \u </w:instrText>
      </w:r>
      <w:r>
        <w:rPr>
          <w:color w:val="auto"/>
        </w:rPr>
        <w:fldChar w:fldCharType="separate"/>
      </w:r>
      <w:r>
        <w:rPr>
          <w:color w:val="auto"/>
        </w:rPr>
        <w:fldChar w:fldCharType="begin"/>
      </w:r>
      <w:r>
        <w:instrText xml:space="preserve"> HYPERLINK \l _Toc18426 </w:instrText>
      </w:r>
      <w:r>
        <w:fldChar w:fldCharType="separate"/>
      </w:r>
      <w:r>
        <w:rPr>
          <w:rFonts w:hint="eastAsia"/>
        </w:rPr>
        <w:t>前   言</w:t>
      </w:r>
      <w:r>
        <w:tab/>
      </w:r>
      <w:r>
        <w:fldChar w:fldCharType="begin"/>
      </w:r>
      <w:r>
        <w:instrText xml:space="preserve"> PAGEREF _Toc18426 \h </w:instrText>
      </w:r>
      <w:r>
        <w:fldChar w:fldCharType="separate"/>
      </w:r>
      <w:r>
        <w:t>II</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_Toc29806 </w:instrText>
      </w:r>
      <w: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_Toc29806 \h </w:instrText>
      </w:r>
      <w:r>
        <w:fldChar w:fldCharType="separate"/>
      </w:r>
      <w:r>
        <w:t>1</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_Toc2284 </w:instrText>
      </w:r>
      <w: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_Toc2284 \h </w:instrText>
      </w:r>
      <w:r>
        <w:fldChar w:fldCharType="separate"/>
      </w:r>
      <w:r>
        <w:t>1</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_Toc24623 </w:instrText>
      </w:r>
      <w:r>
        <w:fldChar w:fldCharType="separate"/>
      </w:r>
      <w:r>
        <w:rPr>
          <w:rFonts w:hint="eastAsia" w:ascii="黑体" w:hAnsi="Times New Roman" w:eastAsia="黑体"/>
          <w:i w:val="0"/>
          <w:szCs w:val="21"/>
        </w:rPr>
        <w:t xml:space="preserve">3 </w:t>
      </w:r>
      <w:r>
        <w:rPr>
          <w:rFonts w:hint="eastAsia"/>
        </w:rPr>
        <w:t>术语和定义</w:t>
      </w:r>
      <w:r>
        <w:tab/>
      </w:r>
      <w:r>
        <w:fldChar w:fldCharType="begin"/>
      </w:r>
      <w:r>
        <w:instrText xml:space="preserve"> PAGEREF _Toc24623 \h </w:instrText>
      </w:r>
      <w:r>
        <w:fldChar w:fldCharType="separate"/>
      </w:r>
      <w:r>
        <w:t>1</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_Toc9779 </w:instrText>
      </w:r>
      <w:r>
        <w:fldChar w:fldCharType="separate"/>
      </w:r>
      <w:r>
        <w:rPr>
          <w:rFonts w:hint="eastAsia" w:ascii="黑体" w:hAnsi="Times New Roman" w:eastAsia="黑体"/>
          <w:i w:val="0"/>
          <w:szCs w:val="21"/>
        </w:rPr>
        <w:t xml:space="preserve">4 </w:t>
      </w:r>
      <w:r>
        <w:rPr>
          <w:rFonts w:hint="eastAsia"/>
        </w:rPr>
        <w:t>核算边界</w:t>
      </w:r>
      <w:r>
        <w:rPr>
          <w:rFonts w:hint="eastAsia"/>
          <w:lang w:val="en-US" w:eastAsia="zh-CN"/>
        </w:rPr>
        <w:t>和排放源确定</w:t>
      </w:r>
      <w:r>
        <w:tab/>
      </w:r>
      <w:r>
        <w:fldChar w:fldCharType="begin"/>
      </w:r>
      <w:r>
        <w:instrText xml:space="preserve"> PAGEREF _Toc9779 \h </w:instrText>
      </w:r>
      <w:r>
        <w:fldChar w:fldCharType="separate"/>
      </w:r>
      <w:r>
        <w:t>2</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_Toc1169 </w:instrText>
      </w:r>
      <w:r>
        <w:fldChar w:fldCharType="separate"/>
      </w:r>
      <w:r>
        <w:rPr>
          <w:rFonts w:hint="eastAsia" w:ascii="黑体" w:hAnsi="Times New Roman" w:eastAsia="黑体"/>
          <w:i w:val="0"/>
          <w:szCs w:val="21"/>
          <w:lang w:val="en-US" w:eastAsia="zh-CN"/>
        </w:rPr>
        <w:t xml:space="preserve">5 </w:t>
      </w:r>
      <w:r>
        <w:rPr>
          <w:rFonts w:hint="eastAsia"/>
          <w:lang w:val="en-US" w:eastAsia="zh-CN"/>
        </w:rPr>
        <w:t>核算步骤</w:t>
      </w:r>
      <w:r>
        <w:tab/>
      </w:r>
      <w:r>
        <w:fldChar w:fldCharType="begin"/>
      </w:r>
      <w:r>
        <w:instrText xml:space="preserve"> PAGEREF _Toc1169 \h </w:instrText>
      </w:r>
      <w:r>
        <w:fldChar w:fldCharType="separate"/>
      </w:r>
      <w:r>
        <w:t>5</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_Toc17133 </w:instrText>
      </w:r>
      <w:r>
        <w:fldChar w:fldCharType="separate"/>
      </w:r>
      <w:r>
        <w:rPr>
          <w:rFonts w:hint="eastAsia" w:ascii="黑体" w:hAnsi="Times New Roman" w:eastAsia="黑体"/>
          <w:i w:val="0"/>
          <w:szCs w:val="21"/>
        </w:rPr>
        <w:t xml:space="preserve">6 </w:t>
      </w:r>
      <w:r>
        <w:rPr>
          <w:rFonts w:hint="eastAsia"/>
        </w:rPr>
        <w:t>核算</w:t>
      </w:r>
      <w:r>
        <w:rPr>
          <w:rFonts w:hint="eastAsia"/>
          <w:lang w:val="en-US" w:eastAsia="zh-CN"/>
        </w:rPr>
        <w:t>要求及排放量计算</w:t>
      </w:r>
      <w:r>
        <w:tab/>
      </w:r>
      <w:r>
        <w:fldChar w:fldCharType="begin"/>
      </w:r>
      <w:r>
        <w:instrText xml:space="preserve"> PAGEREF _Toc17133 \h </w:instrText>
      </w:r>
      <w:r>
        <w:fldChar w:fldCharType="separate"/>
      </w:r>
      <w:r>
        <w:t>5</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_Toc22782 </w:instrText>
      </w:r>
      <w:r>
        <w:fldChar w:fldCharType="separate"/>
      </w:r>
      <w:r>
        <w:rPr>
          <w:rFonts w:hint="eastAsia" w:ascii="黑体" w:hAnsi="Times New Roman" w:eastAsia="黑体"/>
          <w:i w:val="0"/>
          <w:szCs w:val="21"/>
        </w:rPr>
        <w:t xml:space="preserve">7 </w:t>
      </w:r>
      <w:r>
        <w:rPr>
          <w:rFonts w:ascii="Times New Roman"/>
        </w:rPr>
        <w:t>数据质量管理</w:t>
      </w:r>
      <w:r>
        <w:rPr>
          <w:rFonts w:hint="eastAsia" w:ascii="Times New Roman"/>
          <w:lang w:val="en-US" w:eastAsia="zh-CN"/>
        </w:rPr>
        <w:t>要求</w:t>
      </w:r>
      <w:r>
        <w:tab/>
      </w:r>
      <w:r>
        <w:fldChar w:fldCharType="begin"/>
      </w:r>
      <w:r>
        <w:instrText xml:space="preserve"> PAGEREF _Toc22782 \h </w:instrText>
      </w:r>
      <w:r>
        <w:fldChar w:fldCharType="separate"/>
      </w:r>
      <w:r>
        <w:t>11</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_Toc23382 </w:instrText>
      </w:r>
      <w:r>
        <w:fldChar w:fldCharType="separate"/>
      </w:r>
      <w:r>
        <w:rPr>
          <w:rFonts w:hint="eastAsia" w:ascii="黑体" w:hAnsi="Times New Roman" w:eastAsia="黑体"/>
          <w:i w:val="0"/>
          <w:szCs w:val="21"/>
        </w:rPr>
        <w:t xml:space="preserve">8 </w:t>
      </w:r>
      <w:r>
        <w:rPr>
          <w:rFonts w:ascii="Times New Roman"/>
        </w:rPr>
        <w:t>报告内容和格式</w:t>
      </w:r>
      <w:r>
        <w:tab/>
      </w:r>
      <w:r>
        <w:fldChar w:fldCharType="begin"/>
      </w:r>
      <w:r>
        <w:instrText xml:space="preserve"> PAGEREF _Toc23382 \h </w:instrText>
      </w:r>
      <w:r>
        <w:fldChar w:fldCharType="separate"/>
      </w:r>
      <w:r>
        <w:t>11</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_Toc17937 </w:instrText>
      </w:r>
      <w:r>
        <w:fldChar w:fldCharType="separate"/>
      </w:r>
      <w:r>
        <w:rPr>
          <w:rFonts w:hint="eastAsia" w:ascii="黑体" w:hAnsi="Times New Roman" w:eastAsia="黑体"/>
          <w:i w:val="0"/>
          <w:spacing w:val="0"/>
          <w:w w:val="100"/>
        </w:rPr>
        <w:t xml:space="preserve">附　录　A </w:t>
      </w:r>
      <w:r>
        <w:rPr>
          <w:rFonts w:ascii="Times New Roman"/>
        </w:rPr>
        <w:t xml:space="preserve"> </w:t>
      </w:r>
      <w:r>
        <w:rPr>
          <w:rFonts w:ascii="Times New Roman"/>
        </w:rPr>
        <w:t>（资料性）</w:t>
      </w:r>
      <w:r>
        <w:rPr>
          <w:rFonts w:ascii="Times New Roman"/>
        </w:rPr>
        <w:t xml:space="preserve"> </w:t>
      </w:r>
      <w:r>
        <w:rPr>
          <w:rFonts w:ascii="Times New Roman"/>
        </w:rPr>
        <w:t>报告格式模板</w:t>
      </w:r>
      <w:r>
        <w:tab/>
      </w:r>
      <w:r>
        <w:fldChar w:fldCharType="begin"/>
      </w:r>
      <w:r>
        <w:instrText xml:space="preserve"> PAGEREF _Toc17937 \h </w:instrText>
      </w:r>
      <w:r>
        <w:fldChar w:fldCharType="separate"/>
      </w:r>
      <w:r>
        <w:t>13</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_Toc24518 </w:instrText>
      </w:r>
      <w:r>
        <w:fldChar w:fldCharType="separate"/>
      </w:r>
      <w:r>
        <w:rPr>
          <w:rFonts w:hint="eastAsia" w:ascii="黑体" w:hAnsi="Times New Roman" w:eastAsia="黑体"/>
          <w:i w:val="0"/>
          <w:spacing w:val="0"/>
          <w:w w:val="100"/>
        </w:rPr>
        <w:t xml:space="preserve">附　录　B </w:t>
      </w:r>
      <w:r>
        <w:rPr>
          <w:rFonts w:hint="eastAsia"/>
          <w:lang w:val="en-US" w:eastAsia="zh-CN"/>
        </w:rPr>
        <w:t xml:space="preserve"> </w:t>
      </w:r>
      <w:r>
        <w:rPr>
          <w:rFonts w:hint="eastAsia"/>
        </w:rPr>
        <w:t>（资料性）</w:t>
      </w:r>
      <w:r>
        <w:rPr>
          <w:rFonts w:hint="eastAsia"/>
        </w:rPr>
        <w:t xml:space="preserve"> </w:t>
      </w:r>
      <w:r>
        <w:rPr>
          <w:rFonts w:hint="eastAsia"/>
        </w:rPr>
        <w:t>相关参数推荐值</w:t>
      </w:r>
      <w:r>
        <w:tab/>
      </w:r>
      <w:r>
        <w:fldChar w:fldCharType="begin"/>
      </w:r>
      <w:r>
        <w:instrText xml:space="preserve"> PAGEREF _Toc24518 \h </w:instrText>
      </w:r>
      <w:r>
        <w:fldChar w:fldCharType="separate"/>
      </w:r>
      <w:r>
        <w:t>17</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_Toc12809 </w:instrText>
      </w:r>
      <w:r>
        <w:fldChar w:fldCharType="separate"/>
      </w:r>
      <w:r>
        <w:rPr>
          <w:rFonts w:hint="eastAsia" w:ascii="黑体" w:hAnsi="Times New Roman" w:eastAsia="黑体"/>
          <w:i w:val="0"/>
          <w:spacing w:val="0"/>
          <w:w w:val="100"/>
          <w:lang w:val="en-US" w:eastAsia="zh-CN"/>
        </w:rPr>
        <w:t xml:space="preserve">附　录　C </w:t>
      </w:r>
      <w:r>
        <w:rPr>
          <w:rFonts w:hint="eastAsia"/>
          <w:lang w:val="en-US" w:eastAsia="zh-CN"/>
        </w:rPr>
        <w:t xml:space="preserve"> </w:t>
      </w:r>
      <w:r>
        <w:rPr>
          <w:rFonts w:hint="eastAsia"/>
        </w:rPr>
        <w:t>（资料性）</w:t>
      </w:r>
      <w:r>
        <w:rPr>
          <w:rFonts w:hint="eastAsia"/>
        </w:rPr>
        <w:t xml:space="preserve"> </w:t>
      </w:r>
      <w:r>
        <w:rPr>
          <w:rFonts w:hint="eastAsia"/>
          <w:lang w:val="en-US" w:eastAsia="zh-CN"/>
        </w:rPr>
        <w:t>数据质量控制计划模板</w:t>
      </w:r>
      <w:r>
        <w:tab/>
      </w:r>
      <w:r>
        <w:fldChar w:fldCharType="begin"/>
      </w:r>
      <w:r>
        <w:instrText xml:space="preserve"> PAGEREF _Toc12809 \h </w:instrText>
      </w:r>
      <w:r>
        <w:fldChar w:fldCharType="separate"/>
      </w:r>
      <w:r>
        <w:t>19</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_Toc9805 </w:instrText>
      </w:r>
      <w:r>
        <w:fldChar w:fldCharType="separate"/>
      </w:r>
      <w:r>
        <w:rPr>
          <w:rFonts w:hint="eastAsia" w:ascii="黑体" w:hAnsi="Times New Roman" w:eastAsia="黑体"/>
          <w:i w:val="0"/>
          <w:spacing w:val="0"/>
          <w:w w:val="100"/>
        </w:rPr>
        <w:t xml:space="preserve">附　录　D </w:t>
      </w:r>
      <w:r>
        <w:rPr>
          <w:rFonts w:hint="eastAsia"/>
          <w:lang w:val="en-US" w:eastAsia="zh-CN"/>
        </w:rPr>
        <w:t xml:space="preserve"> </w:t>
      </w:r>
      <w:r>
        <w:rPr>
          <w:rFonts w:hint="eastAsia"/>
        </w:rPr>
        <w:t>（资料性）</w:t>
      </w:r>
      <w:r>
        <w:rPr>
          <w:rFonts w:hint="eastAsia"/>
        </w:rPr>
        <w:t xml:space="preserve"> </w:t>
      </w:r>
      <w:r>
        <w:rPr>
          <w:rFonts w:hint="eastAsia"/>
        </w:rPr>
        <w:t>污水厌氧处理的</w:t>
      </w:r>
      <w:r>
        <w:rPr>
          <w:rFonts w:hint="eastAsia"/>
          <w:lang w:eastAsia="zh-CN"/>
        </w:rPr>
        <w:t>温室气体</w:t>
      </w:r>
      <w:r>
        <w:rPr>
          <w:rFonts w:hint="eastAsia"/>
        </w:rPr>
        <w:t>排放量</w:t>
      </w:r>
      <w:r>
        <w:tab/>
      </w:r>
      <w:r>
        <w:fldChar w:fldCharType="begin"/>
      </w:r>
      <w:r>
        <w:instrText xml:space="preserve"> PAGEREF _Toc9805 \h </w:instrText>
      </w:r>
      <w:r>
        <w:fldChar w:fldCharType="separate"/>
      </w:r>
      <w:r>
        <w:t>26</w:t>
      </w:r>
      <w:r>
        <w:fldChar w:fldCharType="end"/>
      </w:r>
      <w:r>
        <w:rPr>
          <w:color w:val="auto"/>
        </w:rPr>
        <w:fldChar w:fldCharType="end"/>
      </w:r>
    </w:p>
    <w:p>
      <w:pPr>
        <w:pStyle w:val="22"/>
        <w:tabs>
          <w:tab w:val="right" w:leader="dot" w:pos="9638"/>
          <w:tab w:val="clear" w:pos="9242"/>
        </w:tabs>
      </w:pPr>
      <w:r>
        <w:rPr>
          <w:color w:val="auto"/>
        </w:rPr>
        <w:fldChar w:fldCharType="begin"/>
      </w:r>
      <w:r>
        <w:instrText xml:space="preserve"> HYPERLINK \l _Toc27845 </w:instrText>
      </w:r>
      <w:r>
        <w:fldChar w:fldCharType="separate"/>
      </w:r>
      <w:r>
        <w:rPr>
          <w:rFonts w:hint="eastAsia"/>
          <w:spacing w:val="105"/>
        </w:rPr>
        <w:t>参考文</w:t>
      </w:r>
      <w:r>
        <w:rPr>
          <w:rFonts w:hint="eastAsia"/>
        </w:rPr>
        <w:t>献</w:t>
      </w:r>
      <w:r>
        <w:tab/>
      </w:r>
      <w:r>
        <w:fldChar w:fldCharType="begin"/>
      </w:r>
      <w:r>
        <w:instrText xml:space="preserve"> PAGEREF _Toc27845 \h </w:instrText>
      </w:r>
      <w:r>
        <w:fldChar w:fldCharType="separate"/>
      </w:r>
      <w:r>
        <w:t>28</w:t>
      </w:r>
      <w:r>
        <w:fldChar w:fldCharType="end"/>
      </w:r>
      <w:r>
        <w:rPr>
          <w:color w:val="auto"/>
        </w:rPr>
        <w:fldChar w:fldCharType="end"/>
      </w:r>
    </w:p>
    <w:p>
      <w:pPr>
        <w:pStyle w:val="22"/>
        <w:tabs>
          <w:tab w:val="right" w:leader="dot" w:pos="9354"/>
          <w:tab w:val="clear" w:pos="9242"/>
        </w:tabs>
        <w:spacing w:before="78" w:after="78"/>
        <w:rPr>
          <w:color w:val="auto"/>
        </w:rPr>
      </w:pPr>
      <w:r>
        <w:rPr>
          <w:color w:val="auto"/>
        </w:rPr>
        <w:fldChar w:fldCharType="end"/>
      </w:r>
    </w:p>
    <w:p>
      <w:pPr>
        <w:rPr>
          <w:color w:val="auto"/>
        </w:rPr>
      </w:pPr>
    </w:p>
    <w:p>
      <w:pPr>
        <w:pStyle w:val="126"/>
        <w:rPr>
          <w:rFonts w:eastAsia="宋体"/>
          <w:color w:val="auto"/>
        </w:rPr>
      </w:pPr>
      <w:bookmarkStart w:id="5" w:name="_Toc22118"/>
      <w:bookmarkStart w:id="6" w:name="_Toc25669"/>
      <w:bookmarkStart w:id="7" w:name="_Toc18426"/>
      <w:r>
        <w:rPr>
          <w:rFonts w:hint="eastAsia"/>
          <w:color w:val="auto"/>
        </w:rPr>
        <w:t>前   言</w:t>
      </w:r>
      <w:bookmarkEnd w:id="5"/>
      <w:bookmarkEnd w:id="6"/>
      <w:bookmarkEnd w:id="7"/>
      <w:bookmarkStart w:id="8" w:name="pindex35"/>
      <w:bookmarkEnd w:id="8"/>
    </w:p>
    <w:p>
      <w:pPr>
        <w:pStyle w:val="26"/>
        <w:rPr>
          <w:color w:val="auto"/>
        </w:rPr>
      </w:pPr>
      <w:r>
        <w:rPr>
          <w:rFonts w:hint="eastAsia"/>
          <w:color w:val="auto"/>
        </w:rPr>
        <w:t>本文件按照GB/T 1.1</w:t>
      </w:r>
      <w:r>
        <w:rPr>
          <w:color w:val="auto"/>
        </w:rPr>
        <w:t>—</w:t>
      </w:r>
      <w:r>
        <w:rPr>
          <w:rFonts w:hint="eastAsia"/>
          <w:color w:val="auto"/>
        </w:rPr>
        <w:t>20</w:t>
      </w:r>
      <w:r>
        <w:rPr>
          <w:color w:val="auto"/>
        </w:rPr>
        <w:t>20</w:t>
      </w:r>
      <w:r>
        <w:rPr>
          <w:rFonts w:hint="eastAsia"/>
          <w:color w:val="auto"/>
        </w:rPr>
        <w:t>《标准化工作导则 第1部分：标准化文件的结构和起草规则》的规定起草。</w:t>
      </w:r>
    </w:p>
    <w:p>
      <w:pPr>
        <w:pStyle w:val="26"/>
        <w:rPr>
          <w:color w:val="auto"/>
        </w:rPr>
      </w:pPr>
      <w:r>
        <w:rPr>
          <w:rFonts w:hint="eastAsia"/>
          <w:color w:val="auto"/>
        </w:rPr>
        <w:t>请注意本文件的某些内容可能涉及专利。本文件的发布机构不承担识别专利的责任。</w:t>
      </w:r>
    </w:p>
    <w:p>
      <w:pPr>
        <w:pStyle w:val="26"/>
        <w:rPr>
          <w:rFonts w:ascii="Times New Roman"/>
          <w:color w:val="auto"/>
        </w:rPr>
      </w:pPr>
      <w:r>
        <w:rPr>
          <w:rFonts w:hint="eastAsia" w:ascii="Times New Roman"/>
          <w:color w:val="auto"/>
        </w:rPr>
        <w:t>本文件由</w:t>
      </w:r>
      <w:r>
        <w:rPr>
          <w:rFonts w:hint="eastAsia"/>
          <w:color w:val="auto"/>
        </w:rPr>
        <w:t>中国建筑材料联合会</w:t>
      </w:r>
      <w:r>
        <w:rPr>
          <w:rFonts w:hint="eastAsia" w:ascii="Times New Roman"/>
          <w:color w:val="auto"/>
        </w:rPr>
        <w:t>提出。</w:t>
      </w:r>
    </w:p>
    <w:p>
      <w:pPr>
        <w:ind w:firstLine="420"/>
        <w:rPr>
          <w:rFonts w:hint="eastAsia" w:ascii="宋体" w:hAnsi="宋体"/>
          <w:color w:val="auto"/>
        </w:rPr>
      </w:pPr>
      <w:r>
        <w:rPr>
          <w:rFonts w:hint="eastAsia" w:ascii="Times New Roman"/>
          <w:color w:val="auto"/>
        </w:rPr>
        <w:t>本文件由</w:t>
      </w:r>
      <w:r>
        <w:rPr>
          <w:rFonts w:hint="eastAsia"/>
          <w:color w:val="auto"/>
        </w:rPr>
        <w:t>中国建筑材料联</w:t>
      </w:r>
      <w:r>
        <w:rPr>
          <w:rFonts w:hint="default" w:ascii="Times New Roman" w:hAnsi="Times New Roman" w:cs="Times New Roman"/>
          <w:color w:val="auto"/>
        </w:rPr>
        <w:t>合会</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609）</w:t>
      </w:r>
      <w:r>
        <w:rPr>
          <w:rFonts w:hint="eastAsia"/>
          <w:color w:val="auto"/>
          <w:lang w:val="en-US" w:eastAsia="zh-CN"/>
        </w:rPr>
        <w:t>和</w:t>
      </w:r>
      <w:r>
        <w:rPr>
          <w:rFonts w:hint="eastAsia" w:ascii="Times New Roman"/>
          <w:color w:val="auto"/>
        </w:rPr>
        <w:t>全国碳排放管理标准化技术委员会（</w:t>
      </w:r>
      <w:r>
        <w:rPr>
          <w:rFonts w:ascii="Times New Roman"/>
          <w:color w:val="auto"/>
        </w:rPr>
        <w:t>SAC/TC 548</w:t>
      </w:r>
      <w:r>
        <w:rPr>
          <w:rFonts w:hint="eastAsia" w:ascii="Times New Roman"/>
          <w:color w:val="auto"/>
        </w:rPr>
        <w:t>）归口</w:t>
      </w:r>
      <w:r>
        <w:rPr>
          <w:rFonts w:hint="eastAsia" w:ascii="宋体" w:hAnsi="宋体"/>
          <w:color w:val="auto"/>
        </w:rPr>
        <w:t>。</w:t>
      </w:r>
    </w:p>
    <w:p>
      <w:pPr>
        <w:ind w:firstLine="420"/>
        <w:rPr>
          <w:rFonts w:hint="eastAsia" w:ascii="宋体" w:hAnsi="宋体" w:eastAsia="宋体"/>
          <w:color w:val="auto"/>
          <w:lang w:eastAsia="zh-CN"/>
        </w:rPr>
      </w:pPr>
      <w:r>
        <w:rPr>
          <w:rFonts w:hint="eastAsia" w:ascii="Times New Roman"/>
          <w:color w:val="auto"/>
        </w:rPr>
        <w:t>本文件负责起草单位</w:t>
      </w:r>
      <w:r>
        <w:rPr>
          <w:rFonts w:hint="eastAsia"/>
          <w:color w:val="auto"/>
          <w:lang w:eastAsia="zh-CN"/>
        </w:rPr>
        <w:t>：</w:t>
      </w:r>
    </w:p>
    <w:p>
      <w:pPr>
        <w:ind w:firstLine="420"/>
        <w:rPr>
          <w:rFonts w:ascii="宋体" w:hAnsi="宋体"/>
          <w:color w:val="auto"/>
        </w:rPr>
      </w:pPr>
      <w:r>
        <w:rPr>
          <w:rFonts w:hint="eastAsia" w:ascii="宋体" w:hAnsi="宋体"/>
          <w:color w:val="auto"/>
        </w:rPr>
        <w:t>本文件主要起草人：</w:t>
      </w:r>
    </w:p>
    <w:p>
      <w:pPr>
        <w:pStyle w:val="26"/>
        <w:rPr>
          <w:color w:val="auto"/>
        </w:rPr>
      </w:pPr>
    </w:p>
    <w:p>
      <w:pPr>
        <w:pStyle w:val="26"/>
        <w:rPr>
          <w:color w:val="auto"/>
        </w:rPr>
      </w:pPr>
    </w:p>
    <w:p>
      <w:pPr>
        <w:pStyle w:val="26"/>
        <w:rPr>
          <w:color w:val="auto"/>
        </w:rPr>
        <w:sectPr>
          <w:headerReference r:id="rId6" w:type="default"/>
          <w:footerReference r:id="rId7" w:type="default"/>
          <w:footerReference r:id="rId8" w:type="even"/>
          <w:pgSz w:w="11906" w:h="16838"/>
          <w:pgMar w:top="2409" w:right="1134" w:bottom="1134" w:left="1134" w:header="1418" w:footer="1134" w:gutter="0"/>
          <w:pgNumType w:fmt="upperRoman" w:start="1"/>
          <w:cols w:space="720" w:num="1"/>
          <w:formProt w:val="0"/>
          <w:docGrid w:type="lines" w:linePitch="312" w:charSpace="0"/>
        </w:sectPr>
      </w:pPr>
    </w:p>
    <w:p>
      <w:pPr>
        <w:pStyle w:val="64"/>
        <w:rPr>
          <w:color w:val="auto"/>
        </w:rPr>
      </w:pPr>
      <w:bookmarkStart w:id="9" w:name="_Toc28750"/>
      <w:bookmarkStart w:id="10" w:name="_Toc11863"/>
      <w:bookmarkStart w:id="11" w:name="_Toc12278"/>
      <w:bookmarkStart w:id="12" w:name="_Toc10119"/>
      <w:bookmarkStart w:id="13" w:name="_Toc20891"/>
      <w:bookmarkStart w:id="14" w:name="_Toc5899"/>
      <w:r>
        <w:rPr>
          <w:rFonts w:hint="eastAsia"/>
          <w:color w:val="auto"/>
          <w:lang w:val="en-US" w:eastAsia="zh-CN"/>
        </w:rPr>
        <w:t>温室气体排放</w:t>
      </w:r>
      <w:r>
        <w:rPr>
          <w:rFonts w:hint="eastAsia"/>
          <w:color w:val="auto"/>
        </w:rPr>
        <w:t>核算</w:t>
      </w:r>
      <w:r>
        <w:rPr>
          <w:color w:val="auto"/>
        </w:rPr>
        <w:t>与报告要求</w:t>
      </w:r>
      <w:r>
        <w:rPr>
          <w:rFonts w:hint="eastAsia"/>
          <w:color w:val="auto"/>
        </w:rPr>
        <w:t xml:space="preserve"> </w:t>
      </w:r>
      <w:r>
        <w:rPr>
          <w:rFonts w:hint="eastAsia"/>
          <w:color w:val="auto"/>
          <w:lang w:val="en-US" w:eastAsia="zh-CN"/>
        </w:rPr>
        <w:t>第X部分：</w:t>
      </w:r>
      <w:r>
        <w:rPr>
          <w:rFonts w:hint="eastAsia"/>
          <w:color w:val="auto"/>
        </w:rPr>
        <w:t>玻璃纤维</w:t>
      </w:r>
      <w:r>
        <w:rPr>
          <w:rFonts w:hint="eastAsia"/>
          <w:color w:val="auto"/>
          <w:lang w:val="en-US" w:eastAsia="zh-CN"/>
        </w:rPr>
        <w:t>及制品</w:t>
      </w:r>
      <w:r>
        <w:rPr>
          <w:rFonts w:hint="eastAsia"/>
          <w:color w:val="auto"/>
        </w:rPr>
        <w:t>生产企业</w:t>
      </w:r>
      <w:bookmarkEnd w:id="9"/>
      <w:bookmarkEnd w:id="10"/>
      <w:bookmarkEnd w:id="11"/>
      <w:bookmarkEnd w:id="12"/>
      <w:bookmarkEnd w:id="13"/>
      <w:bookmarkEnd w:id="14"/>
    </w:p>
    <w:p>
      <w:pPr>
        <w:pStyle w:val="59"/>
        <w:outlineLvl w:val="0"/>
        <w:rPr>
          <w:color w:val="auto"/>
        </w:rPr>
      </w:pPr>
      <w:bookmarkStart w:id="15" w:name="_Toc18930"/>
      <w:bookmarkStart w:id="16" w:name="_Toc698"/>
      <w:bookmarkStart w:id="17" w:name="_Toc29806"/>
      <w:r>
        <w:rPr>
          <w:rFonts w:hint="eastAsia"/>
          <w:color w:val="auto"/>
        </w:rPr>
        <w:t>范围</w:t>
      </w:r>
      <w:bookmarkEnd w:id="15"/>
      <w:bookmarkEnd w:id="16"/>
      <w:bookmarkEnd w:id="17"/>
      <w:bookmarkStart w:id="18" w:name="pindex47"/>
      <w:bookmarkEnd w:id="18"/>
    </w:p>
    <w:p>
      <w:pPr>
        <w:ind w:firstLine="420" w:firstLineChars="200"/>
        <w:rPr>
          <w:rFonts w:hint="eastAsia" w:ascii="宋体" w:hAnsi="宋体"/>
          <w:color w:val="auto"/>
          <w:szCs w:val="21"/>
        </w:rPr>
      </w:pPr>
      <w:r>
        <w:rPr>
          <w:rFonts w:ascii="Times New Roman"/>
        </w:rPr>
        <w:t>本文件规定了</w:t>
      </w:r>
      <w:r>
        <w:rPr>
          <w:rFonts w:hint="eastAsia" w:ascii="Times New Roman"/>
        </w:rPr>
        <w:t>玻璃纤维及制品</w:t>
      </w:r>
      <w:r>
        <w:rPr>
          <w:rFonts w:ascii="Times New Roman"/>
        </w:rPr>
        <w:t>生产企业</w:t>
      </w:r>
      <w:r>
        <w:rPr>
          <w:rFonts w:hint="eastAsia" w:ascii="Times New Roman"/>
        </w:rPr>
        <w:t>温室气体</w:t>
      </w:r>
      <w:r>
        <w:rPr>
          <w:rFonts w:ascii="Times New Roman"/>
        </w:rPr>
        <w:t>排放量的核算边界</w:t>
      </w:r>
      <w:r>
        <w:rPr>
          <w:rFonts w:hint="eastAsia" w:ascii="Times New Roman"/>
          <w:lang w:val="en-US" w:eastAsia="zh-CN"/>
        </w:rPr>
        <w:t>和排放源确定</w:t>
      </w:r>
      <w:r>
        <w:rPr>
          <w:rFonts w:ascii="Times New Roman"/>
        </w:rPr>
        <w:t>、</w:t>
      </w:r>
      <w:r>
        <w:rPr>
          <w:rFonts w:hint="eastAsia" w:ascii="Times New Roman"/>
          <w:lang w:val="en-US" w:eastAsia="zh-CN"/>
        </w:rPr>
        <w:t>核算步骤、</w:t>
      </w:r>
      <w:r>
        <w:rPr>
          <w:rFonts w:ascii="Times New Roman"/>
        </w:rPr>
        <w:t>核算</w:t>
      </w:r>
      <w:r>
        <w:rPr>
          <w:rFonts w:hint="eastAsia" w:ascii="Times New Roman"/>
          <w:lang w:val="en-US" w:eastAsia="zh-CN"/>
        </w:rPr>
        <w:t>要求及排放量计算、</w:t>
      </w:r>
      <w:r>
        <w:rPr>
          <w:rFonts w:ascii="Times New Roman"/>
        </w:rPr>
        <w:t>数据质量管理</w:t>
      </w:r>
      <w:r>
        <w:rPr>
          <w:rFonts w:hint="eastAsia" w:ascii="Times New Roman"/>
          <w:lang w:val="en-US" w:eastAsia="zh-CN"/>
        </w:rPr>
        <w:t>要求</w:t>
      </w:r>
      <w:r>
        <w:rPr>
          <w:rFonts w:ascii="Times New Roman"/>
        </w:rPr>
        <w:t>、报告内容和格式等内容</w:t>
      </w:r>
      <w:r>
        <w:rPr>
          <w:rFonts w:hint="eastAsia" w:ascii="宋体" w:hAnsi="宋体"/>
          <w:color w:val="auto"/>
          <w:szCs w:val="21"/>
        </w:rPr>
        <w:t>。</w:t>
      </w:r>
    </w:p>
    <w:p>
      <w:pPr>
        <w:ind w:firstLine="420" w:firstLineChars="200"/>
        <w:rPr>
          <w:rFonts w:ascii="宋体" w:hAnsi="宋体"/>
          <w:strike/>
          <w:color w:val="auto"/>
          <w:szCs w:val="21"/>
        </w:rPr>
      </w:pPr>
      <w:r>
        <w:rPr>
          <w:rFonts w:hint="eastAsia" w:ascii="宋体" w:hAnsi="宋体"/>
          <w:color w:val="auto"/>
          <w:szCs w:val="21"/>
        </w:rPr>
        <w:t>本文件适用于</w:t>
      </w:r>
      <w:r>
        <w:rPr>
          <w:rFonts w:hint="eastAsia" w:ascii="宋体" w:hAnsi="宋体"/>
          <w:color w:val="auto"/>
          <w:szCs w:val="21"/>
          <w:lang w:val="en-US" w:eastAsia="zh-CN"/>
        </w:rPr>
        <w:t>玻璃球、玻璃纤维纱、布、带、套管、多层织物</w:t>
      </w:r>
      <w:r>
        <w:rPr>
          <w:rFonts w:hint="eastAsia" w:ascii="宋体" w:hAnsi="宋体"/>
          <w:color w:val="auto"/>
          <w:szCs w:val="21"/>
        </w:rPr>
        <w:t>生产企业温室气体排放量的核算和报告。</w:t>
      </w:r>
    </w:p>
    <w:p>
      <w:pPr>
        <w:pStyle w:val="59"/>
        <w:outlineLvl w:val="0"/>
        <w:rPr>
          <w:color w:val="auto"/>
        </w:rPr>
      </w:pPr>
      <w:bookmarkStart w:id="19" w:name="_Toc17871"/>
      <w:bookmarkStart w:id="20" w:name="_Toc10886"/>
      <w:bookmarkStart w:id="21" w:name="_Toc2284"/>
      <w:r>
        <w:rPr>
          <w:rFonts w:hint="eastAsia"/>
          <w:color w:val="auto"/>
        </w:rPr>
        <w:t>规范性引用文件</w:t>
      </w:r>
      <w:bookmarkEnd w:id="19"/>
      <w:bookmarkEnd w:id="20"/>
      <w:bookmarkEnd w:id="21"/>
      <w:bookmarkStart w:id="22" w:name="pindex50"/>
      <w:bookmarkEnd w:id="22"/>
    </w:p>
    <w:p>
      <w:pPr>
        <w:pStyle w:val="26"/>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w:t>
      </w:r>
      <w:sdt>
        <w:sdtPr>
          <w:rPr>
            <w:color w:val="auto"/>
          </w:rPr>
          <w:alias w:val="易错词检查"/>
          <w:id w:val="33024"/>
        </w:sdtPr>
        <w:sdtEndPr>
          <w:rPr>
            <w:color w:val="auto"/>
          </w:rPr>
        </w:sdtEndPr>
        <w:sdtContent>
          <w:bookmarkStart w:id="23" w:name="bkReivew33024"/>
          <w:r>
            <w:rPr>
              <w:rFonts w:hint="eastAsia"/>
              <w:color w:val="auto"/>
            </w:rPr>
            <w:t>改单</w:t>
          </w:r>
          <w:bookmarkEnd w:id="23"/>
        </w:sdtContent>
      </w:sdt>
      <w:r>
        <w:rPr>
          <w:rFonts w:hint="eastAsia"/>
          <w:color w:val="auto"/>
        </w:rPr>
        <w:t>）适用于本文件。</w:t>
      </w:r>
    </w:p>
    <w:p>
      <w:pPr>
        <w:pStyle w:val="26"/>
        <w:rPr>
          <w:rFonts w:ascii="Times New Roman" w:hAnsi="Times New Roman" w:eastAsia="宋体" w:cs="Times New Roman"/>
          <w:szCs w:val="30"/>
        </w:rPr>
      </w:pPr>
      <w:r>
        <w:rPr>
          <w:rFonts w:ascii="Times New Roman" w:hAnsi="Times New Roman" w:eastAsia="宋体" w:cs="Times New Roman"/>
          <w:szCs w:val="30"/>
        </w:rPr>
        <w:t>GB/T 210.2 工业碳酸钠及其试验方法 第二部分：工业碳酸钠试验方法</w:t>
      </w:r>
    </w:p>
    <w:p>
      <w:pPr>
        <w:pStyle w:val="26"/>
        <w:rPr>
          <w:rFonts w:hint="eastAsia" w:ascii="Times New Roman" w:hAnsi="Times New Roman" w:eastAsia="宋体" w:cs="Times New Roman"/>
          <w:szCs w:val="30"/>
        </w:rPr>
      </w:pPr>
      <w:r>
        <w:rPr>
          <w:rFonts w:ascii="Times New Roman" w:hAnsi="Times New Roman" w:eastAsia="宋体" w:cs="Times New Roman"/>
          <w:szCs w:val="30"/>
        </w:rPr>
        <w:t xml:space="preserve">GB/T 213 </w:t>
      </w:r>
      <w:r>
        <w:rPr>
          <w:rFonts w:hint="eastAsia" w:ascii="Times New Roman" w:hAnsi="Times New Roman" w:eastAsia="宋体" w:cs="Times New Roman"/>
          <w:szCs w:val="30"/>
        </w:rPr>
        <w:t>煤的发热量测定方法</w:t>
      </w:r>
    </w:p>
    <w:p>
      <w:pPr>
        <w:pStyle w:val="26"/>
        <w:rPr>
          <w:rFonts w:hint="eastAsia" w:ascii="Times New Roman" w:hAnsi="Times New Roman" w:eastAsia="宋体" w:cs="Times New Roman"/>
          <w:szCs w:val="30"/>
        </w:rPr>
      </w:pPr>
      <w:r>
        <w:rPr>
          <w:rFonts w:hint="eastAsia" w:ascii="Times New Roman" w:hAnsi="Times New Roman" w:eastAsia="宋体" w:cs="Times New Roman"/>
          <w:szCs w:val="30"/>
        </w:rPr>
        <w:t>GB/T 384 石油产品热值测定法</w:t>
      </w:r>
    </w:p>
    <w:p>
      <w:pPr>
        <w:pStyle w:val="26"/>
        <w:rPr>
          <w:rFonts w:ascii="Times New Roman" w:hAnsi="Times New Roman" w:eastAsia="宋体" w:cs="Times New Roman"/>
          <w:szCs w:val="30"/>
        </w:rPr>
      </w:pPr>
      <w:r>
        <w:rPr>
          <w:rFonts w:ascii="Times New Roman" w:hAnsi="Times New Roman" w:eastAsia="宋体" w:cs="Times New Roman"/>
          <w:szCs w:val="30"/>
        </w:rPr>
        <w:t>GB/T 1606 工业碳酸氢钠</w:t>
      </w:r>
    </w:p>
    <w:p>
      <w:pPr>
        <w:pStyle w:val="26"/>
        <w:rPr>
          <w:rFonts w:hint="default" w:ascii="Times New Roman" w:hAnsi="Times New Roman" w:eastAsia="宋体" w:cs="Times New Roman"/>
          <w:i w:val="0"/>
          <w:iCs w:val="0"/>
          <w:caps w:val="0"/>
          <w:color w:val="auto"/>
          <w:spacing w:val="0"/>
          <w:sz w:val="21"/>
          <w:szCs w:val="20"/>
          <w:highlight w:val="none"/>
          <w:shd w:val="clear"/>
        </w:rPr>
      </w:pPr>
      <w:r>
        <w:rPr>
          <w:rFonts w:hint="default" w:ascii="Times New Roman" w:hAnsi="Times New Roman" w:cs="Times New Roman"/>
          <w:color w:val="auto"/>
          <w:kern w:val="0"/>
          <w:highlight w:val="none"/>
          <w:lang w:val="en-US" w:eastAsia="zh-CN"/>
        </w:rPr>
        <w:t xml:space="preserve">GB/T 3286.1 </w:t>
      </w:r>
      <w:r>
        <w:rPr>
          <w:rFonts w:hint="default" w:ascii="Times New Roman" w:hAnsi="Times New Roman" w:eastAsia="宋体" w:cs="Times New Roman"/>
          <w:i w:val="0"/>
          <w:iCs w:val="0"/>
          <w:caps w:val="0"/>
          <w:color w:val="auto"/>
          <w:spacing w:val="0"/>
          <w:sz w:val="21"/>
          <w:szCs w:val="20"/>
          <w:highlight w:val="none"/>
          <w:shd w:val="clear"/>
        </w:rPr>
        <w:t>石灰石及白云石化学分析方法</w:t>
      </w:r>
      <w:r>
        <w:rPr>
          <w:rFonts w:hint="default" w:ascii="Times New Roman" w:hAnsi="Times New Roman" w:cs="Times New Roman"/>
          <w:i w:val="0"/>
          <w:iCs w:val="0"/>
          <w:caps w:val="0"/>
          <w:color w:val="auto"/>
          <w:spacing w:val="0"/>
          <w:sz w:val="21"/>
          <w:szCs w:val="20"/>
          <w:highlight w:val="none"/>
          <w:shd w:val="clear"/>
          <w:lang w:val="en-US" w:eastAsia="zh-CN"/>
        </w:rPr>
        <w:t xml:space="preserve"> </w:t>
      </w:r>
      <w:r>
        <w:rPr>
          <w:rFonts w:hint="default" w:ascii="Times New Roman" w:hAnsi="Times New Roman" w:eastAsia="宋体" w:cs="Times New Roman"/>
          <w:i w:val="0"/>
          <w:iCs w:val="0"/>
          <w:caps w:val="0"/>
          <w:color w:val="auto"/>
          <w:spacing w:val="0"/>
          <w:sz w:val="21"/>
          <w:szCs w:val="20"/>
          <w:highlight w:val="none"/>
          <w:shd w:val="clear"/>
        </w:rPr>
        <w:t>第1部分：氧化钙和氧化镁含量的测定</w:t>
      </w:r>
      <w:r>
        <w:rPr>
          <w:rFonts w:hint="default" w:ascii="Times New Roman" w:hAnsi="Times New Roman" w:cs="Times New Roman"/>
          <w:i w:val="0"/>
          <w:iCs w:val="0"/>
          <w:caps w:val="0"/>
          <w:color w:val="auto"/>
          <w:spacing w:val="0"/>
          <w:sz w:val="21"/>
          <w:szCs w:val="20"/>
          <w:highlight w:val="none"/>
          <w:shd w:val="clear"/>
          <w:lang w:val="en-US" w:eastAsia="zh-CN"/>
        </w:rPr>
        <w:t xml:space="preserve"> </w:t>
      </w:r>
      <w:r>
        <w:rPr>
          <w:rFonts w:hint="default" w:ascii="Times New Roman" w:hAnsi="Times New Roman" w:eastAsia="宋体" w:cs="Times New Roman"/>
          <w:i w:val="0"/>
          <w:iCs w:val="0"/>
          <w:caps w:val="0"/>
          <w:color w:val="auto"/>
          <w:spacing w:val="0"/>
          <w:sz w:val="21"/>
          <w:szCs w:val="20"/>
          <w:highlight w:val="none"/>
          <w:shd w:val="clear"/>
        </w:rPr>
        <w:t>络合滴定法和火焰原子吸收光谱法</w:t>
      </w:r>
    </w:p>
    <w:p>
      <w:pPr>
        <w:pStyle w:val="26"/>
        <w:rPr>
          <w:rFonts w:hint="default" w:ascii="Times New Roman" w:hAnsi="Times New Roman" w:eastAsia="宋体" w:cs="Times New Roman"/>
          <w:color w:val="auto"/>
          <w:kern w:val="0"/>
          <w:highlight w:val="none"/>
          <w:lang w:val="en-US" w:eastAsia="zh-CN"/>
        </w:rPr>
      </w:pPr>
      <w:r>
        <w:rPr>
          <w:rFonts w:hint="default" w:ascii="Times New Roman" w:hAnsi="Times New Roman" w:cs="Times New Roman"/>
          <w:i w:val="0"/>
          <w:iCs w:val="0"/>
          <w:caps w:val="0"/>
          <w:color w:val="auto"/>
          <w:spacing w:val="0"/>
          <w:sz w:val="21"/>
          <w:szCs w:val="20"/>
          <w:highlight w:val="none"/>
          <w:shd w:val="clear"/>
          <w:lang w:val="en-US" w:eastAsia="zh-CN"/>
        </w:rPr>
        <w:t xml:space="preserve">GB/T 3286.9 </w:t>
      </w:r>
      <w:r>
        <w:rPr>
          <w:rFonts w:hint="default" w:ascii="Times New Roman" w:hAnsi="Times New Roman" w:eastAsia="宋体" w:cs="Times New Roman"/>
          <w:i w:val="0"/>
          <w:iCs w:val="0"/>
          <w:caps w:val="0"/>
          <w:color w:val="auto"/>
          <w:spacing w:val="0"/>
          <w:sz w:val="21"/>
          <w:szCs w:val="20"/>
          <w:highlight w:val="none"/>
          <w:shd w:val="clear"/>
        </w:rPr>
        <w:t>石灰石及白云石化学分析方法</w:t>
      </w:r>
      <w:r>
        <w:rPr>
          <w:rFonts w:hint="default" w:ascii="Times New Roman" w:hAnsi="Times New Roman" w:cs="Times New Roman"/>
          <w:i w:val="0"/>
          <w:iCs w:val="0"/>
          <w:caps w:val="0"/>
          <w:color w:val="auto"/>
          <w:spacing w:val="0"/>
          <w:sz w:val="21"/>
          <w:szCs w:val="20"/>
          <w:highlight w:val="none"/>
          <w:shd w:val="clear"/>
          <w:lang w:val="en-US" w:eastAsia="zh-CN"/>
        </w:rPr>
        <w:t xml:space="preserve"> </w:t>
      </w:r>
      <w:r>
        <w:rPr>
          <w:rFonts w:hint="default" w:ascii="Times New Roman" w:hAnsi="Times New Roman" w:eastAsia="宋体" w:cs="Times New Roman"/>
          <w:i w:val="0"/>
          <w:iCs w:val="0"/>
          <w:caps w:val="0"/>
          <w:color w:val="auto"/>
          <w:spacing w:val="0"/>
          <w:sz w:val="21"/>
          <w:szCs w:val="20"/>
          <w:highlight w:val="none"/>
          <w:shd w:val="clear"/>
        </w:rPr>
        <w:t>第9部分:二氧化碳含量的测定</w:t>
      </w:r>
      <w:r>
        <w:rPr>
          <w:rFonts w:hint="default" w:ascii="Times New Roman" w:hAnsi="Times New Roman" w:cs="Times New Roman"/>
          <w:i w:val="0"/>
          <w:iCs w:val="0"/>
          <w:caps w:val="0"/>
          <w:color w:val="auto"/>
          <w:spacing w:val="0"/>
          <w:sz w:val="21"/>
          <w:szCs w:val="20"/>
          <w:highlight w:val="none"/>
          <w:shd w:val="clear"/>
          <w:lang w:val="en-US" w:eastAsia="zh-CN"/>
        </w:rPr>
        <w:t xml:space="preserve"> </w:t>
      </w:r>
      <w:r>
        <w:rPr>
          <w:rFonts w:hint="default" w:ascii="Times New Roman" w:hAnsi="Times New Roman" w:eastAsia="宋体" w:cs="Times New Roman"/>
          <w:i w:val="0"/>
          <w:iCs w:val="0"/>
          <w:caps w:val="0"/>
          <w:color w:val="auto"/>
          <w:spacing w:val="0"/>
          <w:sz w:val="21"/>
          <w:szCs w:val="20"/>
          <w:highlight w:val="none"/>
          <w:shd w:val="clear"/>
        </w:rPr>
        <w:t>烧碱石棉吸收重量法</w:t>
      </w:r>
    </w:p>
    <w:p>
      <w:pPr>
        <w:pStyle w:val="26"/>
        <w:autoSpaceDE/>
        <w:autoSpaceDN/>
        <w:rPr>
          <w:rFonts w:hint="default" w:ascii="Times New Roman" w:hAnsi="Times New Roman" w:eastAsia="宋体" w:cs="Times New Roman"/>
          <w:color w:val="auto"/>
          <w:lang w:val="en-US" w:eastAsia="zh-CN"/>
        </w:rPr>
      </w:pPr>
      <w:r>
        <w:rPr>
          <w:rFonts w:hint="default" w:ascii="Times New Roman" w:hAnsi="Times New Roman" w:cs="Times New Roman"/>
          <w:color w:val="auto"/>
        </w:rPr>
        <w:t>GB/T 7721</w:t>
      </w:r>
      <w:r>
        <w:rPr>
          <w:rFonts w:hint="eastAsia" w:ascii="Times New Roman" w:cs="Times New Roman"/>
          <w:color w:val="auto"/>
          <w:lang w:val="en-US" w:eastAsia="zh-CN"/>
        </w:rPr>
        <w:t xml:space="preserve"> 连续累计自动衡器（皮带秤）</w:t>
      </w:r>
    </w:p>
    <w:p>
      <w:pPr>
        <w:pStyle w:val="26"/>
        <w:rPr>
          <w:rFonts w:hint="eastAsia" w:ascii="Times New Roman" w:eastAsia="宋体"/>
          <w:szCs w:val="21"/>
          <w:lang w:val="en-US" w:eastAsia="zh-CN"/>
        </w:rPr>
      </w:pPr>
      <w:r>
        <w:rPr>
          <w:rFonts w:hint="default" w:ascii="Times New Roman"/>
        </w:rPr>
        <w:t>GB/T 6422</w:t>
      </w:r>
      <w:r>
        <w:rPr>
          <w:rFonts w:hint="eastAsia" w:ascii="Times New Roman"/>
          <w:lang w:val="en-US" w:eastAsia="zh-CN"/>
        </w:rPr>
        <w:t xml:space="preserve"> </w:t>
      </w:r>
      <w:r>
        <w:rPr>
          <w:rFonts w:hint="eastAsia" w:ascii="Times New Roman"/>
        </w:rPr>
        <w:t>用能设备能量测试导则</w:t>
      </w:r>
    </w:p>
    <w:p>
      <w:pPr>
        <w:pStyle w:val="26"/>
        <w:rPr>
          <w:rFonts w:ascii="Times New Roman"/>
          <w:szCs w:val="30"/>
        </w:rPr>
      </w:pPr>
      <w:r>
        <w:rPr>
          <w:rFonts w:ascii="Times New Roman"/>
          <w:szCs w:val="30"/>
        </w:rPr>
        <w:t xml:space="preserve">GB/T 11062 </w:t>
      </w:r>
      <w:r>
        <w:rPr>
          <w:rFonts w:hint="eastAsia" w:ascii="Times New Roman"/>
          <w:szCs w:val="30"/>
        </w:rPr>
        <w:t>天然气发热量、密度、相对密度和沃泊指数的计算方法</w:t>
      </w:r>
    </w:p>
    <w:p>
      <w:pPr>
        <w:pStyle w:val="26"/>
        <w:rPr>
          <w:rFonts w:ascii="Times New Roman"/>
          <w:color w:val="000000"/>
        </w:rPr>
      </w:pPr>
      <w:r>
        <w:rPr>
          <w:rFonts w:ascii="Times New Roman"/>
          <w:szCs w:val="21"/>
        </w:rPr>
        <w:t xml:space="preserve">GB/T 15316 </w:t>
      </w:r>
      <w:r>
        <w:rPr>
          <w:rFonts w:hint="eastAsia" w:ascii="Times New Roman"/>
          <w:szCs w:val="21"/>
        </w:rPr>
        <w:t>节能</w:t>
      </w:r>
      <w:r>
        <w:rPr>
          <w:rFonts w:ascii="Times New Roman"/>
          <w:szCs w:val="21"/>
        </w:rPr>
        <w:t>监测技术通则</w:t>
      </w:r>
    </w:p>
    <w:p>
      <w:pPr>
        <w:pStyle w:val="26"/>
        <w:rPr>
          <w:rFonts w:hint="default" w:ascii="Times New Roman" w:hAnsi="Times New Roman" w:cs="Times New Roman"/>
          <w:color w:val="auto"/>
        </w:rPr>
      </w:pPr>
      <w:r>
        <w:rPr>
          <w:rFonts w:hint="default" w:ascii="Times New Roman" w:hAnsi="Times New Roman" w:cs="Times New Roman"/>
          <w:color w:val="auto"/>
        </w:rPr>
        <w:t>GB 17167 用能单位能源计量器具配备和管理通则</w:t>
      </w:r>
    </w:p>
    <w:p>
      <w:pPr>
        <w:pStyle w:val="26"/>
        <w:rPr>
          <w:rFonts w:hint="default" w:ascii="Times New Roman" w:hAnsi="Times New Roman" w:cs="Times New Roman"/>
          <w:color w:val="auto"/>
        </w:rPr>
      </w:pPr>
      <w:r>
        <w:rPr>
          <w:rFonts w:hint="default" w:ascii="Times New Roman" w:hAnsi="Times New Roman" w:cs="Times New Roman"/>
          <w:color w:val="auto"/>
        </w:rPr>
        <w:t>GB/T 18374 增强材料术语及定义</w:t>
      </w:r>
    </w:p>
    <w:p>
      <w:pPr>
        <w:pStyle w:val="26"/>
        <w:rPr>
          <w:rFonts w:ascii="Times New Roman"/>
          <w:szCs w:val="21"/>
        </w:rPr>
      </w:pPr>
      <w:r>
        <w:rPr>
          <w:rFonts w:hint="default" w:ascii="Times New Roman" w:hAnsi="Times New Roman" w:cs="Times New Roman"/>
          <w:color w:val="auto"/>
        </w:rPr>
        <w:t>GB/T 23111</w:t>
      </w:r>
      <w:r>
        <w:rPr>
          <w:rFonts w:hint="eastAsia" w:ascii="Times New Roman" w:cs="Times New Roman"/>
          <w:color w:val="auto"/>
          <w:lang w:val="en-US" w:eastAsia="zh-CN"/>
        </w:rPr>
        <w:t xml:space="preserve"> </w:t>
      </w:r>
      <w:r>
        <w:rPr>
          <w:rFonts w:ascii="Times New Roman"/>
          <w:szCs w:val="21"/>
        </w:rPr>
        <w:t>非自动衡器</w:t>
      </w:r>
    </w:p>
    <w:p>
      <w:pPr>
        <w:pStyle w:val="26"/>
        <w:rPr>
          <w:rFonts w:hint="default" w:ascii="Times New Roman"/>
          <w:szCs w:val="21"/>
          <w:lang w:val="en-US" w:eastAsia="zh-CN"/>
        </w:rPr>
      </w:pPr>
      <w:r>
        <w:rPr>
          <w:rFonts w:hint="eastAsia" w:ascii="Times New Roman" w:cs="Times New Roman"/>
          <w:lang w:val="en-US" w:eastAsia="zh-CN"/>
        </w:rPr>
        <w:t>GB/T 24851 建筑材料行业能源计量器具配备和管理要求</w:t>
      </w:r>
    </w:p>
    <w:p>
      <w:pPr>
        <w:pStyle w:val="26"/>
        <w:rPr>
          <w:rFonts w:hint="default" w:ascii="Times New Roman"/>
          <w:szCs w:val="21"/>
          <w:lang w:val="en-US" w:eastAsia="zh-CN"/>
        </w:rPr>
      </w:pPr>
      <w:r>
        <w:rPr>
          <w:rFonts w:hint="eastAsia" w:ascii="Times New Roman" w:cs="Times New Roman"/>
          <w:color w:val="auto"/>
          <w:lang w:val="en-US" w:eastAsia="zh-CN"/>
        </w:rPr>
        <w:t>GB/T 27738 重力式自动装料衡器</w:t>
      </w:r>
    </w:p>
    <w:p>
      <w:pPr>
        <w:pStyle w:val="26"/>
        <w:rPr>
          <w:rFonts w:hint="default" w:ascii="Times New Roman" w:hAnsi="Times New Roman" w:cs="Times New Roman"/>
          <w:color w:val="auto"/>
        </w:rPr>
      </w:pPr>
      <w:r>
        <w:rPr>
          <w:rFonts w:hint="default" w:ascii="Times New Roman" w:hAnsi="Times New Roman" w:cs="Times New Roman"/>
          <w:color w:val="auto"/>
        </w:rPr>
        <w:t>GB/T 32150-2015 工业企业温室气体排放核算和报告通则</w:t>
      </w:r>
    </w:p>
    <w:p>
      <w:pPr>
        <w:pStyle w:val="26"/>
        <w:rPr>
          <w:rFonts w:ascii="Times New Roman"/>
          <w:szCs w:val="21"/>
        </w:rPr>
      </w:pPr>
      <w:r>
        <w:rPr>
          <w:rFonts w:hint="default" w:ascii="Times New Roman" w:hAnsi="Times New Roman" w:cs="Times New Roman"/>
          <w:color w:val="auto"/>
          <w:szCs w:val="21"/>
        </w:rPr>
        <w:t>GB/T 32201</w:t>
      </w:r>
      <w:r>
        <w:rPr>
          <w:rFonts w:hint="eastAsia" w:ascii="Times New Roman" w:cs="Times New Roman"/>
          <w:color w:val="auto"/>
          <w:szCs w:val="21"/>
          <w:lang w:val="en-US" w:eastAsia="zh-CN"/>
        </w:rPr>
        <w:t xml:space="preserve"> </w:t>
      </w:r>
      <w:r>
        <w:rPr>
          <w:rFonts w:ascii="Times New Roman"/>
          <w:szCs w:val="21"/>
        </w:rPr>
        <w:t>气体流量计</w:t>
      </w:r>
    </w:p>
    <w:p>
      <w:pPr>
        <w:pStyle w:val="159"/>
        <w:ind w:firstLine="420"/>
        <w:rPr>
          <w:rFonts w:ascii="Times New Roman"/>
        </w:rPr>
      </w:pPr>
      <w:r>
        <w:rPr>
          <w:rFonts w:hint="eastAsia" w:ascii="Times New Roman"/>
        </w:rPr>
        <w:t>JJG 195 连续累计自动衡器（皮带秤）检定规程</w:t>
      </w:r>
    </w:p>
    <w:p>
      <w:pPr>
        <w:pStyle w:val="26"/>
        <w:rPr>
          <w:rFonts w:hint="eastAsia" w:ascii="Times New Roman" w:eastAsia="宋体"/>
          <w:szCs w:val="21"/>
          <w:lang w:val="en-US" w:eastAsia="zh-CN"/>
        </w:rPr>
      </w:pPr>
      <w:r>
        <w:rPr>
          <w:rFonts w:hint="eastAsia" w:ascii="Times New Roman"/>
          <w:szCs w:val="21"/>
        </w:rPr>
        <w:t>JJG 564</w:t>
      </w:r>
      <w:r>
        <w:rPr>
          <w:rFonts w:hint="eastAsia" w:ascii="Times New Roman"/>
          <w:szCs w:val="21"/>
          <w:lang w:val="en-US" w:eastAsia="zh-CN"/>
        </w:rPr>
        <w:t xml:space="preserve"> 重力式自动装料衡器检定规程</w:t>
      </w:r>
    </w:p>
    <w:p>
      <w:pPr>
        <w:pStyle w:val="159"/>
        <w:ind w:firstLine="420"/>
        <w:rPr>
          <w:rFonts w:ascii="Times New Roman"/>
        </w:rPr>
      </w:pPr>
      <w:r>
        <w:rPr>
          <w:rFonts w:hint="eastAsia" w:ascii="Times New Roman"/>
        </w:rPr>
        <w:t>JJG 1118 电子汽车衡（衡器载荷测量仪法）检定规程</w:t>
      </w:r>
    </w:p>
    <w:p>
      <w:pPr>
        <w:pStyle w:val="159"/>
        <w:ind w:firstLine="420"/>
        <w:rPr>
          <w:rFonts w:ascii="Times New Roman"/>
        </w:rPr>
      </w:pPr>
      <w:r>
        <w:rPr>
          <w:rFonts w:ascii="Times New Roman"/>
        </w:rPr>
        <w:t xml:space="preserve">JJG 2063 </w:t>
      </w:r>
      <w:r>
        <w:rPr>
          <w:rFonts w:hint="eastAsia" w:ascii="Times New Roman"/>
        </w:rPr>
        <w:t>液体流量计器具检定系统表检定规程</w:t>
      </w:r>
    </w:p>
    <w:p>
      <w:pPr>
        <w:pStyle w:val="59"/>
        <w:outlineLvl w:val="0"/>
        <w:rPr>
          <w:color w:val="auto"/>
        </w:rPr>
      </w:pPr>
      <w:bookmarkStart w:id="24" w:name="_Toc32049"/>
      <w:bookmarkStart w:id="25" w:name="_Toc19493"/>
      <w:bookmarkStart w:id="26" w:name="_Toc24623"/>
      <w:r>
        <w:rPr>
          <w:rFonts w:hint="eastAsia"/>
          <w:color w:val="auto"/>
        </w:rPr>
        <w:t>术语和定义</w:t>
      </w:r>
      <w:bookmarkEnd w:id="24"/>
      <w:bookmarkEnd w:id="25"/>
      <w:bookmarkEnd w:id="26"/>
      <w:bookmarkStart w:id="27" w:name="pindex64"/>
      <w:bookmarkEnd w:id="27"/>
    </w:p>
    <w:sdt>
      <w:sdtPr>
        <w:rPr>
          <w:rFonts w:ascii="Times New Roman"/>
        </w:rPr>
        <w:id w:val="-1909835108"/>
        <w:placeholder>
          <w:docPart w:val="{c44f484a-3207-4dcd-ac15-2e17562d077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159"/>
            <w:ind w:firstLine="420"/>
            <w:rPr>
              <w:rFonts w:ascii="Times New Roman"/>
            </w:rPr>
          </w:pPr>
          <w:bookmarkStart w:id="28" w:name="_Toc26986532"/>
          <w:bookmarkEnd w:id="28"/>
          <w:bookmarkStart w:id="29" w:name="_Toc1251"/>
          <w:bookmarkStart w:id="30" w:name="_Toc28329"/>
          <w:r>
            <w:rPr>
              <w:rFonts w:ascii="Times New Roman"/>
            </w:rPr>
            <w:t>GB/T 32150界定的以及下列术语和定义适用于本文件。</w:t>
          </w:r>
        </w:p>
      </w:sdtContent>
    </w:sdt>
    <w:p>
      <w:pPr>
        <w:pStyle w:val="160"/>
        <w:ind w:left="420" w:hanging="420" w:hangingChars="200"/>
        <w:outlineLvl w:val="1"/>
        <w:rPr>
          <w:rFonts w:ascii="Times New Roman"/>
        </w:rPr>
      </w:pPr>
      <w:bookmarkStart w:id="31" w:name="_Toc3106"/>
      <w:r>
        <w:rPr>
          <w:rFonts w:ascii="Times New Roman" w:eastAsia="黑体"/>
        </w:rPr>
        <w:br w:type="textWrapping"/>
      </w:r>
      <w:r>
        <w:rPr>
          <w:rFonts w:ascii="Times New Roman" w:eastAsia="黑体"/>
        </w:rPr>
        <w:t>温室气体</w:t>
      </w:r>
      <w:r>
        <w:rPr>
          <w:rFonts w:hint="eastAsia" w:ascii="Times New Roman" w:eastAsia="黑体"/>
        </w:rPr>
        <w:t xml:space="preserve"> </w:t>
      </w:r>
      <w:r>
        <w:rPr>
          <w:rFonts w:ascii="Times New Roman"/>
        </w:rPr>
        <w:t>greenhouse gas</w:t>
      </w:r>
      <w:bookmarkEnd w:id="31"/>
    </w:p>
    <w:p>
      <w:pPr>
        <w:pStyle w:val="159"/>
        <w:ind w:firstLine="420"/>
        <w:rPr>
          <w:rFonts w:ascii="Times New Roman"/>
        </w:rPr>
      </w:pPr>
      <w:r>
        <w:rPr>
          <w:rFonts w:ascii="Times New Roman"/>
        </w:rPr>
        <w:t>大气层中自然存在的和由于人类活动产生的能够吸收和散发由地球表面、大气层和云层所产生的、波长在红外光谱内的辐射的气态成</w:t>
      </w:r>
      <w:r>
        <w:rPr>
          <w:rFonts w:hint="eastAsia" w:ascii="Times New Roman"/>
        </w:rPr>
        <w:t>分</w:t>
      </w:r>
      <w:r>
        <w:rPr>
          <w:rFonts w:ascii="Times New Roman"/>
        </w:rPr>
        <w:t>。</w:t>
      </w:r>
    </w:p>
    <w:p>
      <w:pPr>
        <w:pStyle w:val="164"/>
        <w:rPr>
          <w:rFonts w:ascii="Times New Roman"/>
        </w:rPr>
      </w:pPr>
      <w:r>
        <w:rPr>
          <w:rFonts w:ascii="Times New Roman"/>
        </w:rPr>
        <w:t>本文件涉及的温室气体只包含</w:t>
      </w:r>
      <w:r>
        <w:rPr>
          <w:rFonts w:hint="eastAsia" w:ascii="Times New Roman"/>
        </w:rPr>
        <w:t>二氧化碳</w:t>
      </w:r>
      <w:r>
        <w:rPr>
          <w:rFonts w:ascii="Times New Roman"/>
        </w:rPr>
        <w:t>（CO</w:t>
      </w:r>
      <w:r>
        <w:rPr>
          <w:rFonts w:ascii="Times New Roman"/>
          <w:vertAlign w:val="subscript"/>
        </w:rPr>
        <w:t>2</w:t>
      </w:r>
      <w:r>
        <w:rPr>
          <w:rFonts w:ascii="Times New Roman"/>
        </w:rPr>
        <w:t>）。</w:t>
      </w:r>
    </w:p>
    <w:p>
      <w:pPr>
        <w:pStyle w:val="159"/>
        <w:ind w:firstLine="420"/>
        <w:rPr>
          <w:rFonts w:ascii="Times New Roman"/>
        </w:rPr>
      </w:pPr>
      <w:r>
        <w:rPr>
          <w:rFonts w:ascii="Times New Roman"/>
        </w:rPr>
        <w:t>[来源：GB/T 32150—2015，</w:t>
      </w:r>
      <w:r>
        <w:rPr>
          <w:rFonts w:hint="eastAsia" w:ascii="Times New Roman"/>
        </w:rPr>
        <w:t>定义</w:t>
      </w:r>
      <w:r>
        <w:rPr>
          <w:rFonts w:ascii="Times New Roman"/>
        </w:rPr>
        <w:t>3.1]</w:t>
      </w:r>
    </w:p>
    <w:p>
      <w:pPr>
        <w:pStyle w:val="160"/>
        <w:ind w:left="420" w:hanging="420" w:hangingChars="200"/>
        <w:outlineLvl w:val="1"/>
        <w:rPr>
          <w:rFonts w:ascii="Times New Roman" w:eastAsia="黑体"/>
        </w:rPr>
      </w:pPr>
      <w:bookmarkStart w:id="32" w:name="_Toc25407"/>
      <w:r>
        <w:rPr>
          <w:rFonts w:ascii="Times New Roman" w:eastAsia="黑体"/>
        </w:rPr>
        <w:br w:type="textWrapping"/>
      </w:r>
      <w:r>
        <w:rPr>
          <w:rFonts w:hint="eastAsia" w:ascii="Times New Roman" w:eastAsia="黑体"/>
        </w:rPr>
        <w:t>温室气体排放</w:t>
      </w:r>
      <w:r>
        <w:rPr>
          <w:rFonts w:ascii="Times New Roman" w:eastAsia="黑体"/>
        </w:rPr>
        <w:t xml:space="preserve"> greenhouse gas emissions</w:t>
      </w:r>
      <w:bookmarkEnd w:id="32"/>
    </w:p>
    <w:p>
      <w:pPr>
        <w:pStyle w:val="159"/>
        <w:ind w:firstLine="420"/>
        <w:rPr>
          <w:rFonts w:ascii="Times New Roman"/>
        </w:rPr>
      </w:pPr>
      <w:r>
        <w:rPr>
          <w:rFonts w:hint="eastAsia" w:ascii="Times New Roman"/>
        </w:rPr>
        <w:t>在特定时段内向大气中释放温室气体的过程</w:t>
      </w:r>
      <w:r>
        <w:rPr>
          <w:rFonts w:ascii="Times New Roman"/>
        </w:rPr>
        <w:t>。</w:t>
      </w:r>
    </w:p>
    <w:p>
      <w:pPr>
        <w:pStyle w:val="159"/>
        <w:ind w:firstLine="420"/>
        <w:rPr>
          <w:rFonts w:ascii="Times New Roman"/>
        </w:rPr>
      </w:pPr>
      <w:r>
        <w:rPr>
          <w:rFonts w:ascii="Times New Roman"/>
        </w:rPr>
        <w:t>[来源：GB/T 32150—2015，</w:t>
      </w:r>
      <w:r>
        <w:rPr>
          <w:rFonts w:hint="eastAsia" w:ascii="Times New Roman"/>
        </w:rPr>
        <w:t>定义</w:t>
      </w:r>
      <w:r>
        <w:rPr>
          <w:rFonts w:ascii="Times New Roman"/>
        </w:rPr>
        <w:t>3.6</w:t>
      </w:r>
      <w:r>
        <w:rPr>
          <w:rFonts w:hint="eastAsia" w:ascii="Times New Roman"/>
        </w:rPr>
        <w:t>，有修改</w:t>
      </w:r>
      <w:r>
        <w:rPr>
          <w:rFonts w:ascii="Times New Roman"/>
        </w:rPr>
        <w:t>]</w:t>
      </w:r>
    </w:p>
    <w:p>
      <w:pPr>
        <w:pStyle w:val="160"/>
        <w:ind w:left="420" w:hanging="420" w:hangingChars="200"/>
        <w:outlineLvl w:val="1"/>
        <w:rPr>
          <w:rFonts w:ascii="Times New Roman"/>
        </w:rPr>
      </w:pPr>
      <w:bookmarkStart w:id="33" w:name="_Toc15480"/>
      <w:r>
        <w:rPr>
          <w:rFonts w:ascii="Times New Roman" w:eastAsia="黑体"/>
        </w:rPr>
        <w:br w:type="textWrapping"/>
      </w:r>
      <w:r>
        <w:rPr>
          <w:rFonts w:ascii="Times New Roman" w:eastAsia="黑体"/>
        </w:rPr>
        <w:t>报告主体</w:t>
      </w:r>
      <w:r>
        <w:rPr>
          <w:rFonts w:hint="eastAsia" w:ascii="Times New Roman" w:eastAsia="黑体"/>
        </w:rPr>
        <w:t xml:space="preserve"> </w:t>
      </w:r>
      <w:r>
        <w:rPr>
          <w:rFonts w:ascii="Times New Roman"/>
        </w:rPr>
        <w:t>reporting entity</w:t>
      </w:r>
      <w:bookmarkEnd w:id="33"/>
    </w:p>
    <w:p>
      <w:pPr>
        <w:pStyle w:val="159"/>
        <w:ind w:firstLine="420"/>
        <w:rPr>
          <w:rFonts w:ascii="Times New Roman"/>
        </w:rPr>
      </w:pPr>
      <w:r>
        <w:rPr>
          <w:rFonts w:ascii="Times New Roman"/>
        </w:rPr>
        <w:t>具有</w:t>
      </w:r>
      <w:r>
        <w:rPr>
          <w:rFonts w:hint="eastAsia" w:ascii="Times New Roman"/>
        </w:rPr>
        <w:t>温室气体</w:t>
      </w:r>
      <w:r>
        <w:rPr>
          <w:rFonts w:ascii="Times New Roman"/>
        </w:rPr>
        <w:t>排放行为的法人企业或视同法人的独立核算单位。</w:t>
      </w:r>
    </w:p>
    <w:p>
      <w:pPr>
        <w:pStyle w:val="159"/>
        <w:ind w:firstLine="420"/>
        <w:rPr>
          <w:rFonts w:ascii="Times New Roman"/>
        </w:rPr>
      </w:pPr>
      <w:r>
        <w:rPr>
          <w:rFonts w:ascii="Times New Roman"/>
        </w:rPr>
        <w:t>[来源：GB/T 32150—2015，</w:t>
      </w:r>
      <w:r>
        <w:rPr>
          <w:rFonts w:hint="eastAsia" w:ascii="Times New Roman"/>
        </w:rPr>
        <w:t>定义</w:t>
      </w:r>
      <w:r>
        <w:rPr>
          <w:rFonts w:ascii="Times New Roman"/>
        </w:rPr>
        <w:t>3.2]</w:t>
      </w:r>
    </w:p>
    <w:p>
      <w:pPr>
        <w:pStyle w:val="160"/>
        <w:ind w:left="420" w:hanging="420" w:hangingChars="200"/>
        <w:outlineLvl w:val="1"/>
        <w:rPr>
          <w:rFonts w:ascii="Times New Roman"/>
        </w:rPr>
      </w:pPr>
      <w:bookmarkStart w:id="34" w:name="_Toc1739"/>
      <w:r>
        <w:rPr>
          <w:rFonts w:ascii="Times New Roman" w:eastAsia="黑体"/>
        </w:rPr>
        <w:br w:type="textWrapping"/>
      </w:r>
      <w:r>
        <w:rPr>
          <w:rFonts w:hint="eastAsia" w:ascii="Times New Roman" w:eastAsia="黑体"/>
        </w:rPr>
        <w:t>化石</w:t>
      </w:r>
      <w:r>
        <w:rPr>
          <w:rFonts w:ascii="Times New Roman" w:eastAsia="黑体"/>
        </w:rPr>
        <w:t xml:space="preserve">燃料燃烧排放 </w:t>
      </w:r>
      <w:r>
        <w:rPr>
          <w:rFonts w:ascii="Times New Roman"/>
        </w:rPr>
        <w:t>fossil fuel combustion emission</w:t>
      </w:r>
      <w:bookmarkEnd w:id="34"/>
    </w:p>
    <w:p>
      <w:pPr>
        <w:pStyle w:val="159"/>
        <w:ind w:firstLine="420"/>
        <w:rPr>
          <w:rFonts w:ascii="Times New Roman"/>
        </w:rPr>
      </w:pPr>
      <w:r>
        <w:rPr>
          <w:rFonts w:hint="eastAsia" w:ascii="Times New Roman"/>
        </w:rPr>
        <w:t>化石</w:t>
      </w:r>
      <w:r>
        <w:rPr>
          <w:rFonts w:ascii="Times New Roman"/>
        </w:rPr>
        <w:t>燃料在氧化燃烧过程中产生的二氧化碳排放。</w:t>
      </w:r>
    </w:p>
    <w:p>
      <w:pPr>
        <w:pStyle w:val="159"/>
        <w:ind w:firstLine="420"/>
        <w:rPr>
          <w:rFonts w:ascii="Times New Roman"/>
        </w:rPr>
      </w:pPr>
      <w:r>
        <w:rPr>
          <w:rFonts w:ascii="Times New Roman"/>
        </w:rPr>
        <w:t>[来源：GB/T 32150—2015，</w:t>
      </w:r>
      <w:r>
        <w:rPr>
          <w:rFonts w:hint="eastAsia" w:ascii="Times New Roman"/>
        </w:rPr>
        <w:t>定义</w:t>
      </w:r>
      <w:r>
        <w:rPr>
          <w:rFonts w:ascii="Times New Roman"/>
        </w:rPr>
        <w:t>3.7</w:t>
      </w:r>
      <w:r>
        <w:rPr>
          <w:rFonts w:hint="eastAsia" w:ascii="Times New Roman"/>
        </w:rPr>
        <w:t>，有修改</w:t>
      </w:r>
      <w:r>
        <w:rPr>
          <w:rFonts w:ascii="Times New Roman"/>
        </w:rPr>
        <w:t>]</w:t>
      </w:r>
    </w:p>
    <w:p>
      <w:pPr>
        <w:pStyle w:val="160"/>
        <w:ind w:left="420" w:hanging="420" w:hangingChars="200"/>
        <w:outlineLvl w:val="1"/>
        <w:rPr>
          <w:rFonts w:ascii="Times New Roman" w:eastAsia="黑体"/>
        </w:rPr>
      </w:pPr>
      <w:bookmarkStart w:id="35" w:name="_Toc4297"/>
      <w:r>
        <w:rPr>
          <w:rFonts w:ascii="Times New Roman" w:eastAsia="黑体"/>
        </w:rPr>
        <w:br w:type="textWrapping"/>
      </w:r>
      <w:r>
        <w:rPr>
          <w:rFonts w:hint="eastAsia" w:ascii="Times New Roman" w:eastAsia="黑体"/>
        </w:rPr>
        <w:t xml:space="preserve">净购入使用电力和热力产生的排放 emission from net purchased </w:t>
      </w:r>
      <w:r>
        <w:rPr>
          <w:rFonts w:ascii="Times New Roman" w:eastAsia="黑体"/>
        </w:rPr>
        <w:t>electricity and heat</w:t>
      </w:r>
      <w:bookmarkEnd w:id="35"/>
    </w:p>
    <w:p>
      <w:pPr>
        <w:pStyle w:val="159"/>
        <w:ind w:firstLine="420"/>
        <w:rPr>
          <w:rFonts w:ascii="Times New Roman"/>
        </w:rPr>
      </w:pPr>
      <w:r>
        <w:rPr>
          <w:rFonts w:ascii="Times New Roman"/>
        </w:rPr>
        <w:t>企业消费的</w:t>
      </w:r>
      <w:r>
        <w:rPr>
          <w:rFonts w:hint="eastAsia" w:ascii="Times New Roman"/>
        </w:rPr>
        <w:t>净</w:t>
      </w:r>
      <w:r>
        <w:rPr>
          <w:rFonts w:ascii="Times New Roman"/>
        </w:rPr>
        <w:t>购入</w:t>
      </w:r>
      <w:r>
        <w:rPr>
          <w:rFonts w:hint="eastAsia" w:ascii="Times New Roman"/>
        </w:rPr>
        <w:t>使用电力和热力</w:t>
      </w:r>
      <w:r>
        <w:rPr>
          <w:rFonts w:ascii="Times New Roman"/>
        </w:rPr>
        <w:t>所对应的</w:t>
      </w:r>
      <w:r>
        <w:rPr>
          <w:rFonts w:hint="eastAsia" w:ascii="Times New Roman"/>
        </w:rPr>
        <w:t>电力和热力</w:t>
      </w:r>
      <w:r>
        <w:rPr>
          <w:rFonts w:ascii="Times New Roman"/>
        </w:rPr>
        <w:t>生产环节产生的二氧化碳排放。</w:t>
      </w:r>
    </w:p>
    <w:p>
      <w:pPr>
        <w:pStyle w:val="164"/>
        <w:rPr>
          <w:rFonts w:ascii="Times New Roman"/>
        </w:rPr>
      </w:pPr>
      <w:r>
        <w:rPr>
          <w:rFonts w:ascii="Times New Roman"/>
        </w:rPr>
        <w:t>热力包括蒸汽、热水</w:t>
      </w:r>
      <w:r>
        <w:rPr>
          <w:rFonts w:hint="eastAsia" w:ascii="Times New Roman"/>
        </w:rPr>
        <w:t>等</w:t>
      </w:r>
      <w:r>
        <w:rPr>
          <w:rFonts w:ascii="Times New Roman"/>
        </w:rPr>
        <w:t>。</w:t>
      </w:r>
    </w:p>
    <w:p>
      <w:pPr>
        <w:pStyle w:val="159"/>
        <w:ind w:firstLine="420"/>
        <w:rPr>
          <w:rFonts w:ascii="Times New Roman"/>
        </w:rPr>
      </w:pPr>
      <w:r>
        <w:rPr>
          <w:rFonts w:ascii="Times New Roman"/>
        </w:rPr>
        <w:t>[来源：GB/T 32150—2015，</w:t>
      </w:r>
      <w:r>
        <w:rPr>
          <w:rFonts w:hint="eastAsia" w:ascii="Times New Roman"/>
        </w:rPr>
        <w:t>定义</w:t>
      </w:r>
      <w:r>
        <w:rPr>
          <w:rFonts w:ascii="Times New Roman"/>
        </w:rPr>
        <w:t>3.9</w:t>
      </w:r>
      <w:r>
        <w:rPr>
          <w:rFonts w:hint="eastAsia" w:ascii="Times New Roman"/>
        </w:rPr>
        <w:t>，修改</w:t>
      </w:r>
      <w:r>
        <w:rPr>
          <w:rFonts w:ascii="Times New Roman"/>
        </w:rPr>
        <w:t>]</w:t>
      </w:r>
    </w:p>
    <w:p>
      <w:pPr>
        <w:pStyle w:val="160"/>
        <w:ind w:left="420" w:hanging="420" w:hangingChars="200"/>
        <w:outlineLvl w:val="1"/>
        <w:rPr>
          <w:rFonts w:ascii="Times New Roman" w:eastAsia="黑体"/>
        </w:rPr>
      </w:pPr>
      <w:bookmarkStart w:id="36" w:name="_Toc14110"/>
      <w:r>
        <w:rPr>
          <w:rFonts w:ascii="Times New Roman" w:eastAsia="黑体"/>
        </w:rPr>
        <w:br w:type="textWrapping"/>
      </w:r>
      <w:r>
        <w:rPr>
          <w:rFonts w:ascii="Times New Roman" w:eastAsia="黑体"/>
        </w:rPr>
        <w:t>活动数据 activity data</w:t>
      </w:r>
      <w:bookmarkEnd w:id="36"/>
    </w:p>
    <w:p>
      <w:pPr>
        <w:pStyle w:val="159"/>
        <w:ind w:firstLine="420"/>
        <w:rPr>
          <w:rFonts w:ascii="Times New Roman"/>
        </w:rPr>
      </w:pPr>
      <w:r>
        <w:rPr>
          <w:rFonts w:ascii="Times New Roman"/>
        </w:rPr>
        <w:t>导致</w:t>
      </w:r>
      <w:r>
        <w:rPr>
          <w:rFonts w:hint="eastAsia" w:ascii="Times New Roman"/>
        </w:rPr>
        <w:t>温室气体</w:t>
      </w:r>
      <w:r>
        <w:rPr>
          <w:rFonts w:ascii="Times New Roman"/>
        </w:rPr>
        <w:t>排放的生产或消费活动量的表征值。</w:t>
      </w:r>
    </w:p>
    <w:p>
      <w:pPr>
        <w:pStyle w:val="164"/>
        <w:rPr>
          <w:rFonts w:ascii="Times New Roman"/>
        </w:rPr>
      </w:pPr>
      <w:r>
        <w:rPr>
          <w:rFonts w:ascii="Times New Roman"/>
        </w:rPr>
        <w:t>如各种</w:t>
      </w:r>
      <w:r>
        <w:rPr>
          <w:rFonts w:hint="eastAsia" w:ascii="Times New Roman"/>
        </w:rPr>
        <w:t>化石</w:t>
      </w:r>
      <w:r>
        <w:rPr>
          <w:rFonts w:ascii="Times New Roman"/>
        </w:rPr>
        <w:t>燃料的消耗量</w:t>
      </w:r>
      <w:r>
        <w:rPr>
          <w:rFonts w:hint="eastAsia" w:ascii="Times New Roman"/>
        </w:rPr>
        <w:t>和低位发热量</w:t>
      </w:r>
      <w:r>
        <w:rPr>
          <w:rFonts w:ascii="Times New Roman"/>
        </w:rPr>
        <w:t>、购入的电量</w:t>
      </w:r>
      <w:r>
        <w:rPr>
          <w:rFonts w:hint="eastAsia" w:ascii="Times New Roman"/>
        </w:rPr>
        <w:t>和</w:t>
      </w:r>
      <w:r>
        <w:rPr>
          <w:rFonts w:ascii="Times New Roman"/>
        </w:rPr>
        <w:t>热量</w:t>
      </w:r>
      <w:r>
        <w:rPr>
          <w:rFonts w:hint="eastAsia" w:ascii="Times New Roman"/>
        </w:rPr>
        <w:t>、输出</w:t>
      </w:r>
      <w:r>
        <w:rPr>
          <w:rFonts w:ascii="Times New Roman"/>
        </w:rPr>
        <w:t>的电量</w:t>
      </w:r>
      <w:r>
        <w:rPr>
          <w:rFonts w:hint="eastAsia" w:ascii="Times New Roman"/>
        </w:rPr>
        <w:t>和</w:t>
      </w:r>
      <w:r>
        <w:rPr>
          <w:rFonts w:ascii="Times New Roman"/>
        </w:rPr>
        <w:t>热量等。</w:t>
      </w:r>
    </w:p>
    <w:p>
      <w:pPr>
        <w:pStyle w:val="159"/>
        <w:ind w:firstLine="420"/>
        <w:rPr>
          <w:rFonts w:ascii="Times New Roman"/>
        </w:rPr>
      </w:pPr>
      <w:r>
        <w:rPr>
          <w:rFonts w:ascii="Times New Roman"/>
        </w:rPr>
        <w:t>[来源：GB/T 32150—2015，</w:t>
      </w:r>
      <w:r>
        <w:rPr>
          <w:rFonts w:hint="eastAsia" w:ascii="Times New Roman"/>
        </w:rPr>
        <w:t>定义</w:t>
      </w:r>
      <w:r>
        <w:rPr>
          <w:rFonts w:ascii="Times New Roman"/>
        </w:rPr>
        <w:t>3.12]</w:t>
      </w:r>
    </w:p>
    <w:p>
      <w:pPr>
        <w:pStyle w:val="160"/>
        <w:ind w:left="420" w:hanging="420" w:hangingChars="200"/>
        <w:outlineLvl w:val="1"/>
        <w:rPr>
          <w:rFonts w:ascii="Times New Roman"/>
        </w:rPr>
      </w:pPr>
      <w:bookmarkStart w:id="37" w:name="_Toc14757"/>
      <w:r>
        <w:rPr>
          <w:rFonts w:ascii="Times New Roman" w:eastAsia="黑体"/>
        </w:rPr>
        <w:br w:type="textWrapping"/>
      </w:r>
      <w:r>
        <w:rPr>
          <w:rFonts w:ascii="Times New Roman" w:eastAsia="黑体"/>
        </w:rPr>
        <w:t>排放因子</w:t>
      </w:r>
      <w:r>
        <w:rPr>
          <w:rFonts w:hint="eastAsia" w:ascii="Times New Roman" w:eastAsia="黑体"/>
        </w:rPr>
        <w:t xml:space="preserve"> </w:t>
      </w:r>
      <w:r>
        <w:rPr>
          <w:rFonts w:ascii="Times New Roman"/>
        </w:rPr>
        <w:t>emission factor</w:t>
      </w:r>
      <w:bookmarkEnd w:id="37"/>
    </w:p>
    <w:p>
      <w:pPr>
        <w:pStyle w:val="159"/>
        <w:ind w:firstLine="420"/>
        <w:rPr>
          <w:rFonts w:ascii="Times New Roman"/>
        </w:rPr>
      </w:pPr>
      <w:r>
        <w:rPr>
          <w:rFonts w:ascii="Times New Roman"/>
        </w:rPr>
        <w:t>表征单位生产或消费活动量的</w:t>
      </w:r>
      <w:r>
        <w:rPr>
          <w:rFonts w:hint="eastAsia" w:ascii="Times New Roman"/>
        </w:rPr>
        <w:t>温室气体</w:t>
      </w:r>
      <w:r>
        <w:rPr>
          <w:rFonts w:ascii="Times New Roman"/>
        </w:rPr>
        <w:t>排放的系数。</w:t>
      </w:r>
    </w:p>
    <w:p>
      <w:pPr>
        <w:pStyle w:val="164"/>
        <w:rPr>
          <w:rFonts w:ascii="Times New Roman"/>
        </w:rPr>
      </w:pPr>
      <w:r>
        <w:rPr>
          <w:rFonts w:ascii="Times New Roman"/>
        </w:rPr>
        <w:t>如</w:t>
      </w:r>
      <w:r>
        <w:rPr>
          <w:rFonts w:hint="eastAsia" w:ascii="Times New Roman"/>
        </w:rPr>
        <w:t>电力排放因子、热力排放因子</w:t>
      </w:r>
      <w:r>
        <w:rPr>
          <w:rFonts w:ascii="Times New Roman"/>
        </w:rPr>
        <w:t>等。</w:t>
      </w:r>
    </w:p>
    <w:p>
      <w:pPr>
        <w:pStyle w:val="159"/>
        <w:ind w:firstLine="420"/>
        <w:rPr>
          <w:rFonts w:ascii="Times New Roman"/>
        </w:rPr>
      </w:pPr>
      <w:r>
        <w:rPr>
          <w:rFonts w:ascii="Times New Roman"/>
        </w:rPr>
        <w:t>[来源：GB/T 32150—2015，</w:t>
      </w:r>
      <w:r>
        <w:rPr>
          <w:rFonts w:hint="eastAsia" w:ascii="Times New Roman"/>
        </w:rPr>
        <w:t>定义</w:t>
      </w:r>
      <w:r>
        <w:rPr>
          <w:rFonts w:ascii="Times New Roman"/>
        </w:rPr>
        <w:t>3.13]</w:t>
      </w:r>
    </w:p>
    <w:p>
      <w:pPr>
        <w:pStyle w:val="160"/>
        <w:ind w:left="420" w:hanging="420" w:hangingChars="200"/>
        <w:outlineLvl w:val="1"/>
        <w:rPr>
          <w:rFonts w:ascii="Times New Roman"/>
        </w:rPr>
      </w:pPr>
      <w:bookmarkStart w:id="38" w:name="_Toc18987"/>
      <w:r>
        <w:rPr>
          <w:rFonts w:ascii="Times New Roman" w:eastAsia="黑体"/>
        </w:rPr>
        <w:br w:type="textWrapping"/>
      </w:r>
      <w:r>
        <w:rPr>
          <w:rFonts w:ascii="Times New Roman" w:eastAsia="黑体"/>
        </w:rPr>
        <w:t>碳氧化率</w:t>
      </w:r>
      <w:r>
        <w:rPr>
          <w:rFonts w:hint="eastAsia" w:ascii="Times New Roman" w:eastAsia="黑体"/>
        </w:rPr>
        <w:t xml:space="preserve"> </w:t>
      </w:r>
      <w:r>
        <w:rPr>
          <w:rFonts w:ascii="Times New Roman"/>
        </w:rPr>
        <w:t>carbon</w:t>
      </w:r>
      <w:r>
        <w:rPr>
          <w:rFonts w:ascii="Times New Roman" w:eastAsia="黑体"/>
        </w:rPr>
        <w:t xml:space="preserve"> </w:t>
      </w:r>
      <w:r>
        <w:rPr>
          <w:rFonts w:ascii="Times New Roman"/>
        </w:rPr>
        <w:t>oxidation rate</w:t>
      </w:r>
      <w:bookmarkEnd w:id="38"/>
    </w:p>
    <w:p>
      <w:pPr>
        <w:pStyle w:val="159"/>
        <w:ind w:firstLine="420"/>
        <w:rPr>
          <w:rFonts w:ascii="Times New Roman"/>
        </w:rPr>
      </w:pPr>
      <w:r>
        <w:rPr>
          <w:rFonts w:ascii="Times New Roman"/>
        </w:rPr>
        <w:t>燃料中的碳在燃烧过程中被完全氧化的百分比。</w:t>
      </w:r>
    </w:p>
    <w:p>
      <w:pPr>
        <w:pStyle w:val="159"/>
        <w:ind w:firstLine="420"/>
        <w:rPr>
          <w:rFonts w:ascii="Times New Roman" w:hAnsi="Times New Roman" w:eastAsia="宋体" w:cs="Times New Roman"/>
        </w:rPr>
      </w:pPr>
      <w:r>
        <w:rPr>
          <w:rFonts w:ascii="Times New Roman" w:hAnsi="Times New Roman" w:eastAsia="宋体" w:cs="Times New Roman"/>
        </w:rPr>
        <w:t>[来源：GB/T 32150—2015，</w:t>
      </w:r>
      <w:r>
        <w:rPr>
          <w:rFonts w:hint="eastAsia" w:ascii="Times New Roman" w:hAnsi="Times New Roman" w:eastAsia="宋体" w:cs="Times New Roman"/>
        </w:rPr>
        <w:t>定义</w:t>
      </w:r>
      <w:r>
        <w:rPr>
          <w:rFonts w:ascii="Times New Roman" w:hAnsi="Times New Roman" w:eastAsia="宋体" w:cs="Times New Roman"/>
        </w:rPr>
        <w:t>3.14]</w:t>
      </w:r>
    </w:p>
    <w:p>
      <w:pPr>
        <w:pStyle w:val="59"/>
        <w:outlineLvl w:val="0"/>
        <w:rPr>
          <w:color w:val="auto"/>
        </w:rPr>
      </w:pPr>
      <w:bookmarkStart w:id="39" w:name="_Toc9779"/>
      <w:r>
        <w:rPr>
          <w:rFonts w:hint="eastAsia"/>
          <w:color w:val="auto"/>
        </w:rPr>
        <w:t>核算边界</w:t>
      </w:r>
      <w:bookmarkEnd w:id="29"/>
      <w:bookmarkEnd w:id="30"/>
      <w:bookmarkStart w:id="40" w:name="pindex128"/>
      <w:bookmarkEnd w:id="40"/>
      <w:r>
        <w:rPr>
          <w:rFonts w:hint="eastAsia"/>
          <w:color w:val="auto"/>
          <w:lang w:val="en-US" w:eastAsia="zh-CN"/>
        </w:rPr>
        <w:t>和排放源确定</w:t>
      </w:r>
      <w:bookmarkEnd w:id="39"/>
    </w:p>
    <w:p>
      <w:pPr>
        <w:pStyle w:val="56"/>
        <w:outlineLvl w:val="1"/>
      </w:pPr>
      <w:bookmarkStart w:id="41" w:name="pindex129"/>
      <w:bookmarkEnd w:id="41"/>
      <w:bookmarkStart w:id="42" w:name="_Toc10111"/>
      <w:r>
        <w:rPr>
          <w:rFonts w:hint="eastAsia"/>
          <w:color w:val="auto"/>
          <w:lang w:val="en-US" w:eastAsia="zh-CN"/>
        </w:rPr>
        <w:t>核算边界</w:t>
      </w:r>
      <w:bookmarkEnd w:id="42"/>
    </w:p>
    <w:p>
      <w:pPr>
        <w:ind w:firstLine="420" w:firstLineChars="200"/>
        <w:rPr>
          <w:rFonts w:hint="eastAsia" w:ascii="Times New Roman"/>
          <w:lang w:eastAsia="zh-CN"/>
        </w:rPr>
      </w:pPr>
      <w:r>
        <w:rPr>
          <w:rFonts w:ascii="Times New Roman"/>
        </w:rPr>
        <w:t>报告主体应以</w:t>
      </w:r>
      <w:r>
        <w:rPr>
          <w:rFonts w:hint="eastAsia" w:ascii="Times New Roman"/>
          <w:lang w:val="en-US" w:eastAsia="zh-CN"/>
        </w:rPr>
        <w:t>玻璃纤维及制品生产为主营业务的</w:t>
      </w:r>
      <w:r>
        <w:rPr>
          <w:rFonts w:ascii="Times New Roman"/>
        </w:rPr>
        <w:t>法人或视同法人的独立核算单位为边界，核算和报告其生产系统产生的</w:t>
      </w:r>
      <w:r>
        <w:rPr>
          <w:rFonts w:hint="eastAsia" w:ascii="Times New Roman"/>
        </w:rPr>
        <w:t>温室气体</w:t>
      </w:r>
      <w:r>
        <w:rPr>
          <w:rFonts w:ascii="Times New Roman"/>
        </w:rPr>
        <w:t>排放</w:t>
      </w:r>
      <w:r>
        <w:rPr>
          <w:rFonts w:hint="default" w:ascii="Times New Roman" w:hAnsi="Times New Roman" w:eastAsia="宋体" w:cs="Times New Roman"/>
          <w:color w:val="000000"/>
        </w:rPr>
        <w:t>。</w:t>
      </w:r>
      <w:r>
        <w:rPr>
          <w:rFonts w:ascii="Times New Roman"/>
        </w:rPr>
        <w:t>生产系统包括主要生产系统、辅助生产系统</w:t>
      </w:r>
      <w:r>
        <w:rPr>
          <w:rFonts w:hint="eastAsia" w:ascii="Times New Roman"/>
        </w:rPr>
        <w:t>以及</w:t>
      </w:r>
      <w:r>
        <w:rPr>
          <w:rFonts w:ascii="Times New Roman"/>
        </w:rPr>
        <w:t>直接为生产服务的附属生产系统，其中辅助生产系统包括</w:t>
      </w:r>
      <w:r>
        <w:rPr>
          <w:rFonts w:hint="eastAsia" w:ascii="Times New Roman"/>
        </w:rPr>
        <w:t>供电、供水、供气、</w:t>
      </w:r>
      <w:r>
        <w:rPr>
          <w:rFonts w:hint="eastAsia"/>
          <w:lang w:val="en-US" w:eastAsia="zh-CN"/>
        </w:rPr>
        <w:t>制氧、</w:t>
      </w:r>
      <w:r>
        <w:rPr>
          <w:rFonts w:hint="eastAsia" w:ascii="Times New Roman"/>
        </w:rPr>
        <w:t>供热、制冷、机修、仪修、照明、库房和厂内原料场地以及安全、环保等装置及设施</w:t>
      </w:r>
      <w:r>
        <w:rPr>
          <w:rFonts w:ascii="Times New Roman"/>
        </w:rPr>
        <w:t>，附属生产系统包括生产指挥系统（厂部）和厂区内为生产服务的部门和单位（如职工食堂、车间浴室、保健站等）</w:t>
      </w:r>
      <w:r>
        <w:rPr>
          <w:rFonts w:hint="eastAsia" w:ascii="Times New Roman"/>
          <w:lang w:eastAsia="zh-CN"/>
        </w:rPr>
        <w:t>。</w:t>
      </w:r>
    </w:p>
    <w:p>
      <w:pPr>
        <w:ind w:firstLine="420" w:firstLineChars="200"/>
        <w:rPr>
          <w:rFonts w:hint="eastAsia" w:ascii="Times New Roman"/>
          <w:highlight w:val="none"/>
          <w:lang w:eastAsia="zh-CN"/>
        </w:rPr>
      </w:pPr>
      <w:r>
        <w:rPr>
          <w:rFonts w:hint="eastAsia" w:ascii="Times New Roman"/>
          <w:lang w:val="en-US" w:eastAsia="zh-CN"/>
        </w:rPr>
        <w:t>玻璃纤维及制品</w:t>
      </w:r>
      <w:r>
        <w:rPr>
          <w:rFonts w:hint="eastAsia" w:ascii="Times New Roman"/>
        </w:rPr>
        <w:t>生产企业的主要生产</w:t>
      </w:r>
      <w:r>
        <w:rPr>
          <w:rFonts w:hint="eastAsia" w:ascii="Times New Roman"/>
          <w:highlight w:val="none"/>
        </w:rPr>
        <w:t>系统按照不同</w:t>
      </w:r>
      <w:r>
        <w:rPr>
          <w:rFonts w:hint="eastAsia" w:ascii="Times New Roman"/>
          <w:highlight w:val="none"/>
          <w:lang w:val="en-US" w:eastAsia="zh-CN"/>
        </w:rPr>
        <w:t>产品</w:t>
      </w:r>
      <w:r>
        <w:rPr>
          <w:rFonts w:hint="eastAsia" w:ascii="Times New Roman"/>
          <w:highlight w:val="none"/>
        </w:rPr>
        <w:t>生产工艺可分为</w:t>
      </w:r>
      <w:r>
        <w:rPr>
          <w:rFonts w:hint="eastAsia" w:ascii="Times New Roman"/>
          <w:highlight w:val="none"/>
          <w:lang w:eastAsia="zh-CN"/>
        </w:rPr>
        <w:t>：</w:t>
      </w:r>
    </w:p>
    <w:p>
      <w:pPr>
        <w:pStyle w:val="165"/>
        <w:numPr>
          <w:ilvl w:val="0"/>
          <w:numId w:val="22"/>
        </w:num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玻璃球：配合料制备、玻璃液熔制、制球、包装。</w:t>
      </w:r>
      <w:r>
        <w:rPr>
          <w:rFonts w:hint="eastAsia" w:ascii="Times New Roman"/>
          <w:highlight w:val="none"/>
        </w:rPr>
        <w:t>边界示意图见图</w:t>
      </w:r>
      <w:r>
        <w:rPr>
          <w:rFonts w:hint="eastAsia" w:ascii="Times New Roman"/>
          <w:highlight w:val="none"/>
          <w:lang w:val="en-US" w:eastAsia="zh-CN"/>
        </w:rPr>
        <w:t>1</w:t>
      </w:r>
      <w:r>
        <w:rPr>
          <w:rFonts w:hint="eastAsia" w:ascii="Times New Roman" w:hAnsi="Times New Roman" w:eastAsia="宋体" w:cs="Times New Roman"/>
          <w:highlight w:val="none"/>
          <w:lang w:val="en-US" w:eastAsia="zh-CN"/>
        </w:rPr>
        <w:t>。</w:t>
      </w:r>
    </w:p>
    <w:p>
      <w:pPr>
        <w:pStyle w:val="165"/>
        <w:numPr>
          <w:ilvl w:val="0"/>
          <w:numId w:val="22"/>
        </w:num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池窑法玻璃纤维纱：配合料制备、玻璃液熔制、拉丝成型、原丝烘干、络纱（捻线、短切）、包装。</w:t>
      </w:r>
      <w:r>
        <w:rPr>
          <w:rFonts w:hint="eastAsia" w:ascii="Times New Roman"/>
          <w:highlight w:val="none"/>
        </w:rPr>
        <w:t>边界示意图见图</w:t>
      </w:r>
      <w:r>
        <w:rPr>
          <w:rFonts w:hint="eastAsia" w:ascii="Times New Roman"/>
          <w:highlight w:val="none"/>
          <w:lang w:val="en-US" w:eastAsia="zh-CN"/>
        </w:rPr>
        <w:t>2</w:t>
      </w:r>
      <w:r>
        <w:rPr>
          <w:rFonts w:hint="eastAsia" w:ascii="Times New Roman" w:hAnsi="Times New Roman" w:eastAsia="宋体" w:cs="Times New Roman"/>
          <w:highlight w:val="none"/>
          <w:lang w:val="en-US" w:eastAsia="zh-CN"/>
        </w:rPr>
        <w:t>。</w:t>
      </w:r>
    </w:p>
    <w:p>
      <w:pPr>
        <w:pStyle w:val="165"/>
        <w:numPr>
          <w:ilvl w:val="0"/>
          <w:numId w:val="22"/>
        </w:num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坩埚法玻璃纤维纱：原料准备、玻璃球熔融、拉丝成型、原丝烘干、络纱（捻线、短切）、包装。</w:t>
      </w:r>
      <w:r>
        <w:rPr>
          <w:rFonts w:hint="eastAsia" w:ascii="Times New Roman"/>
          <w:highlight w:val="none"/>
        </w:rPr>
        <w:t>边界示意图见图</w:t>
      </w:r>
      <w:r>
        <w:rPr>
          <w:rFonts w:hint="eastAsia" w:ascii="Times New Roman"/>
          <w:highlight w:val="none"/>
          <w:lang w:val="en-US" w:eastAsia="zh-CN"/>
        </w:rPr>
        <w:t>3</w:t>
      </w:r>
      <w:r>
        <w:rPr>
          <w:rFonts w:hint="eastAsia" w:ascii="Times New Roman" w:hAnsi="Times New Roman" w:eastAsia="宋体" w:cs="Times New Roman"/>
          <w:highlight w:val="none"/>
          <w:lang w:val="en-US" w:eastAsia="zh-CN"/>
        </w:rPr>
        <w:t>。</w:t>
      </w:r>
    </w:p>
    <w:p>
      <w:pPr>
        <w:pStyle w:val="165"/>
        <w:numPr>
          <w:ilvl w:val="0"/>
          <w:numId w:val="22"/>
        </w:numPr>
        <w:rPr>
          <w:rFonts w:hint="default" w:ascii="Times New Roman" w:hAnsi="Times New Roman" w:eastAsia="宋体" w:cs="Times New Roman"/>
          <w:highlight w:val="none"/>
          <w:lang w:val="en-US" w:eastAsia="zh-CN"/>
        </w:rPr>
      </w:pPr>
      <w:r>
        <w:rPr>
          <w:rFonts w:hint="eastAsia" w:ascii="Times New Roman" w:cs="Times New Roman"/>
          <w:highlight w:val="none"/>
          <w:lang w:val="en-US" w:eastAsia="zh-CN"/>
        </w:rPr>
        <w:t>自产玻璃纤维纱生产玻璃纤维制品</w:t>
      </w:r>
      <w:r>
        <w:rPr>
          <w:rFonts w:hint="eastAsia" w:ascii="Times New Roman" w:hAnsi="Times New Roman" w:eastAsia="宋体" w:cs="Times New Roman"/>
          <w:highlight w:val="none"/>
          <w:lang w:val="en-US" w:eastAsia="zh-CN"/>
        </w:rPr>
        <w:t>：玻璃纤维纱生产、织前准备、织造（制毡）、织物后处理、包装。</w:t>
      </w:r>
      <w:r>
        <w:rPr>
          <w:rFonts w:hint="eastAsia" w:ascii="Times New Roman"/>
          <w:highlight w:val="none"/>
        </w:rPr>
        <w:t>边界示意图见图</w:t>
      </w:r>
      <w:r>
        <w:rPr>
          <w:rFonts w:hint="eastAsia" w:ascii="Times New Roman"/>
          <w:highlight w:val="none"/>
          <w:lang w:val="en-US" w:eastAsia="zh-CN"/>
        </w:rPr>
        <w:t>4</w:t>
      </w:r>
      <w:r>
        <w:rPr>
          <w:rFonts w:hint="eastAsia" w:ascii="Times New Roman" w:hAnsi="Times New Roman" w:eastAsia="宋体" w:cs="Times New Roman"/>
          <w:highlight w:val="none"/>
          <w:lang w:val="en-US" w:eastAsia="zh-CN"/>
        </w:rPr>
        <w:t>。</w:t>
      </w:r>
    </w:p>
    <w:p>
      <w:pPr>
        <w:pStyle w:val="165"/>
        <w:numPr>
          <w:ilvl w:val="0"/>
          <w:numId w:val="22"/>
        </w:numPr>
        <w:rPr>
          <w:rFonts w:hint="default" w:ascii="Times New Roman" w:hAnsi="Times New Roman" w:eastAsia="宋体" w:cs="Times New Roman"/>
          <w:highlight w:val="none"/>
          <w:lang w:val="en-US" w:eastAsia="zh-CN"/>
        </w:rPr>
      </w:pPr>
      <w:r>
        <w:rPr>
          <w:rFonts w:hint="eastAsia" w:ascii="Times New Roman" w:cs="Times New Roman"/>
          <w:highlight w:val="none"/>
          <w:lang w:val="en-US" w:eastAsia="zh-CN"/>
        </w:rPr>
        <w:t>外购玻璃纤维纱生产玻璃纤维制品</w:t>
      </w:r>
      <w:r>
        <w:rPr>
          <w:rFonts w:hint="eastAsia" w:ascii="Times New Roman" w:hAnsi="Times New Roman" w:eastAsia="宋体" w:cs="Times New Roman"/>
          <w:highlight w:val="none"/>
          <w:lang w:val="en-US" w:eastAsia="zh-CN"/>
        </w:rPr>
        <w:t>：织前准备、织造（制毡）、织物后处理、包装。</w:t>
      </w:r>
      <w:r>
        <w:rPr>
          <w:rFonts w:hint="eastAsia" w:ascii="Times New Roman"/>
          <w:highlight w:val="none"/>
        </w:rPr>
        <w:t>边界示意图见图</w:t>
      </w:r>
      <w:r>
        <w:rPr>
          <w:rFonts w:hint="eastAsia" w:ascii="Times New Roman"/>
          <w:highlight w:val="none"/>
          <w:lang w:val="en-US" w:eastAsia="zh-CN"/>
        </w:rPr>
        <w:t>5</w:t>
      </w:r>
      <w:r>
        <w:rPr>
          <w:rFonts w:hint="eastAsia" w:ascii="Times New Roman" w:hAnsi="Times New Roman" w:eastAsia="宋体" w:cs="Times New Roman"/>
          <w:highlight w:val="none"/>
          <w:lang w:val="en-US" w:eastAsia="zh-CN"/>
        </w:rPr>
        <w:t>。</w:t>
      </w:r>
    </w:p>
    <w:p>
      <w:pPr>
        <w:pStyle w:val="159"/>
        <w:ind w:firstLine="420"/>
        <w:rPr>
          <w:rFonts w:ascii="Times New Roman"/>
          <w:highlight w:val="yellow"/>
        </w:rPr>
      </w:pPr>
      <w:r>
        <w:rPr>
          <w:rFonts w:hint="eastAsia" w:ascii="Times New Roman"/>
          <w:lang w:val="en-US" w:eastAsia="zh-CN"/>
        </w:rPr>
        <w:t>玻璃纤维及制品</w:t>
      </w:r>
      <w:r>
        <w:rPr>
          <w:rFonts w:hint="eastAsia" w:ascii="Times New Roman"/>
        </w:rPr>
        <w:t>生产企业在生产过程中，其温室气体排放主要包括化石</w:t>
      </w:r>
      <w:r>
        <w:rPr>
          <w:rFonts w:ascii="Times New Roman"/>
        </w:rPr>
        <w:t>燃料燃烧排放、</w:t>
      </w:r>
      <w:r>
        <w:rPr>
          <w:rFonts w:hint="eastAsia" w:ascii="Times New Roman"/>
          <w:lang w:val="en-US" w:eastAsia="zh-CN"/>
        </w:rPr>
        <w:t>过程排放、</w:t>
      </w:r>
      <w:r>
        <w:rPr>
          <w:rFonts w:ascii="Times New Roman"/>
        </w:rPr>
        <w:t>购入</w:t>
      </w:r>
      <w:r>
        <w:rPr>
          <w:rFonts w:hint="eastAsia" w:ascii="Times New Roman"/>
        </w:rPr>
        <w:t>和输出</w:t>
      </w:r>
      <w:r>
        <w:rPr>
          <w:rFonts w:ascii="Times New Roman"/>
        </w:rPr>
        <w:t>的电力和热力产生的排放</w:t>
      </w:r>
      <w:r>
        <w:rPr>
          <w:rFonts w:hint="eastAsia" w:ascii="Times New Roman"/>
          <w:lang w:eastAsia="zh-CN"/>
        </w:rPr>
        <w:t>、</w:t>
      </w:r>
      <w:r>
        <w:rPr>
          <w:rFonts w:hint="eastAsia" w:ascii="Times New Roman"/>
          <w:lang w:val="en-US" w:eastAsia="zh-CN"/>
        </w:rPr>
        <w:t>污水厌氧处理产生的排放</w:t>
      </w:r>
      <w:r>
        <w:rPr>
          <w:rFonts w:ascii="Times New Roman"/>
        </w:rPr>
        <w:t>。</w:t>
      </w:r>
    </w:p>
    <w:p>
      <w:pPr>
        <w:ind w:firstLine="420" w:firstLineChars="200"/>
        <w:rPr>
          <w:rFonts w:hint="eastAsia" w:eastAsia="宋体" w:cs="Times New Roman"/>
          <w:color w:val="000000"/>
          <w:lang w:val="en-US" w:eastAsia="zh-CN"/>
        </w:rPr>
      </w:pPr>
      <w:r>
        <w:rPr>
          <w:rFonts w:hint="eastAsia" w:ascii="Times New Roman"/>
          <w:lang w:val="en-US" w:eastAsia="zh-CN"/>
        </w:rPr>
        <w:t>玻璃纤维及制品</w:t>
      </w:r>
      <w:r>
        <w:rPr>
          <w:rFonts w:hint="eastAsia" w:ascii="Times New Roman"/>
        </w:rPr>
        <w:t>生产企业供应链上下游</w:t>
      </w:r>
      <w:r>
        <w:rPr>
          <w:rFonts w:ascii="Times New Roman"/>
        </w:rPr>
        <w:t>的</w:t>
      </w:r>
      <w:r>
        <w:rPr>
          <w:rFonts w:hint="eastAsia" w:ascii="Times New Roman"/>
        </w:rPr>
        <w:t>温室气体</w:t>
      </w:r>
      <w:r>
        <w:rPr>
          <w:rFonts w:ascii="Times New Roman"/>
        </w:rPr>
        <w:t>排放相较</w:t>
      </w:r>
      <w:r>
        <w:rPr>
          <w:rFonts w:hint="eastAsia" w:ascii="Times New Roman"/>
        </w:rPr>
        <w:t>于</w:t>
      </w:r>
      <w:r>
        <w:rPr>
          <w:rFonts w:ascii="Times New Roman"/>
        </w:rPr>
        <w:t>企业边界内的排放而言不能忽略不计的</w:t>
      </w:r>
      <w:r>
        <w:rPr>
          <w:rFonts w:hint="eastAsia" w:ascii="Times New Roman"/>
        </w:rPr>
        <w:t>（如</w:t>
      </w:r>
      <w:r>
        <w:rPr>
          <w:rFonts w:hint="eastAsia" w:ascii="Times New Roman"/>
          <w:lang w:val="en-US" w:eastAsia="zh-CN"/>
        </w:rPr>
        <w:t>外购玻璃纤维纱生产玻璃纤维制品</w:t>
      </w:r>
      <w:r>
        <w:rPr>
          <w:rFonts w:hint="eastAsia" w:ascii="Times New Roman"/>
        </w:rPr>
        <w:t>）</w:t>
      </w:r>
      <w:r>
        <w:rPr>
          <w:rFonts w:ascii="Times New Roman"/>
        </w:rPr>
        <w:t>，宜</w:t>
      </w:r>
      <w:r>
        <w:rPr>
          <w:rFonts w:hint="eastAsia" w:ascii="Times New Roman"/>
        </w:rPr>
        <w:t>单独报告并明确核算方法</w:t>
      </w:r>
      <w:r>
        <w:rPr>
          <w:rFonts w:hint="eastAsia" w:ascii="Times New Roman"/>
          <w:lang w:eastAsia="zh-CN"/>
        </w:rPr>
        <w:t>。</w:t>
      </w:r>
    </w:p>
    <w:p>
      <w:pPr>
        <w:ind w:firstLine="420" w:firstLineChars="200"/>
        <w:rPr>
          <w:rFonts w:hint="eastAsia" w:cs="Times New Roman"/>
          <w:color w:val="000000"/>
          <w:highlight w:val="none"/>
          <w:lang w:val="en-US" w:eastAsia="zh-CN"/>
        </w:rPr>
      </w:pPr>
      <w:r>
        <w:rPr>
          <w:rFonts w:hint="default" w:ascii="Times New Roman" w:hAnsi="Times New Roman" w:eastAsia="宋体" w:cs="Times New Roman"/>
          <w:color w:val="000000"/>
          <w:highlight w:val="none"/>
        </w:rPr>
        <w:t>报告主体涉及碳捕获、利用与封存（CCUS）等</w:t>
      </w:r>
      <w:r>
        <w:rPr>
          <w:rFonts w:hint="eastAsia" w:ascii="Times New Roman"/>
        </w:rPr>
        <w:t>本文件规定核算范围外的</w:t>
      </w:r>
      <w:r>
        <w:rPr>
          <w:rFonts w:hint="eastAsia"/>
          <w:lang w:val="en-US" w:eastAsia="zh-CN"/>
        </w:rPr>
        <w:t>减排</w:t>
      </w:r>
      <w:r>
        <w:rPr>
          <w:rFonts w:hint="eastAsia" w:ascii="Times New Roman"/>
        </w:rPr>
        <w:t>量，</w:t>
      </w:r>
      <w:r>
        <w:rPr>
          <w:rFonts w:hint="eastAsia"/>
          <w:lang w:val="en-US" w:eastAsia="zh-CN"/>
        </w:rPr>
        <w:t>或涉及污水厌氧处理的温室气体排放量，</w:t>
      </w:r>
      <w:r>
        <w:rPr>
          <w:rFonts w:hint="eastAsia" w:ascii="Times New Roman"/>
        </w:rPr>
        <w:t>宜单独报告并明确核算方法或计量方法</w:t>
      </w:r>
      <w:r>
        <w:rPr>
          <w:rFonts w:hint="eastAsia" w:cs="Times New Roman"/>
          <w:color w:val="000000"/>
          <w:highlight w:val="none"/>
          <w:lang w:val="en-US" w:eastAsia="zh-CN"/>
        </w:rPr>
        <w:t>。</w:t>
      </w:r>
    </w:p>
    <w:p>
      <w:pPr>
        <w:ind w:firstLine="420" w:firstLineChars="200"/>
        <w:rPr>
          <w:rFonts w:hint="default" w:ascii="Times New Roman" w:hAnsi="Times New Roman" w:eastAsia="宋体" w:cs="Times New Roman"/>
          <w:color w:val="000000"/>
          <w:highlight w:val="none"/>
        </w:rPr>
      </w:pPr>
      <w:r>
        <w:rPr>
          <w:rFonts w:hint="eastAsia" w:ascii="Times New Roman"/>
        </w:rPr>
        <w:t>报告主体如果还从事</w:t>
      </w:r>
      <w:r>
        <w:rPr>
          <w:rFonts w:hint="eastAsia" w:ascii="Times New Roman"/>
          <w:lang w:val="en-US" w:eastAsia="zh-CN"/>
        </w:rPr>
        <w:t>玻璃纤维及</w:t>
      </w:r>
      <w:r>
        <w:rPr>
          <w:rFonts w:hint="eastAsia" w:ascii="Times New Roman"/>
        </w:rPr>
        <w:t>制品生产以外的其他产品生产活动，并存在本文件未涵盖的温室气体排放环节，则应按照其他相关行业的企业温室气体排放核算和报告要求进行核算并汇总报告，报告格式见附录</w:t>
      </w:r>
      <w:r>
        <w:rPr>
          <w:rFonts w:ascii="Times New Roman"/>
        </w:rPr>
        <w:t>A</w:t>
      </w:r>
      <w:r>
        <w:rPr>
          <w:rFonts w:hint="default" w:ascii="Times New Roman" w:hAnsi="Times New Roman" w:eastAsia="宋体" w:cs="Times New Roman"/>
          <w:color w:val="000000"/>
          <w:highlight w:val="none"/>
        </w:rPr>
        <w:t>。</w:t>
      </w:r>
    </w:p>
    <w:p>
      <w:pPr>
        <w:jc w:val="center"/>
      </w:pPr>
      <w:r>
        <w:drawing>
          <wp:inline distT="0" distB="0" distL="114300" distR="114300">
            <wp:extent cx="5039995" cy="1934845"/>
            <wp:effectExtent l="0" t="0" r="8255" b="8255"/>
            <wp:docPr id="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1"/>
                    <pic:cNvPicPr>
                      <a:picLocks noChangeAspect="1"/>
                    </pic:cNvPicPr>
                  </pic:nvPicPr>
                  <pic:blipFill>
                    <a:blip r:embed="rId18"/>
                    <a:stretch>
                      <a:fillRect/>
                    </a:stretch>
                  </pic:blipFill>
                  <pic:spPr>
                    <a:xfrm>
                      <a:off x="0" y="0"/>
                      <a:ext cx="5039995" cy="193484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图1 玻璃球生产温室气体排放核算边界示意图</w:t>
      </w:r>
    </w:p>
    <w:p>
      <w:pPr>
        <w:jc w:val="center"/>
      </w:pPr>
      <w:r>
        <w:drawing>
          <wp:inline distT="0" distB="0" distL="114300" distR="114300">
            <wp:extent cx="5039995" cy="1934845"/>
            <wp:effectExtent l="0" t="0" r="8255" b="8255"/>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19"/>
                    <a:stretch>
                      <a:fillRect/>
                    </a:stretch>
                  </pic:blipFill>
                  <pic:spPr>
                    <a:xfrm>
                      <a:off x="0" y="0"/>
                      <a:ext cx="5039995" cy="1934845"/>
                    </a:xfrm>
                    <a:prstGeom prst="rect">
                      <a:avLst/>
                    </a:prstGeom>
                    <a:noFill/>
                    <a:ln>
                      <a:noFill/>
                    </a:ln>
                  </pic:spPr>
                </pic:pic>
              </a:graphicData>
            </a:graphic>
          </wp:inline>
        </w:drawing>
      </w:r>
    </w:p>
    <w:p>
      <w:pPr>
        <w:jc w:val="center"/>
        <w:rPr>
          <w:rFonts w:hint="default"/>
          <w:lang w:val="en-US" w:eastAsia="zh-CN"/>
        </w:rPr>
      </w:pPr>
      <w:r>
        <w:rPr>
          <w:rFonts w:hint="eastAsia"/>
          <w:lang w:val="en-US" w:eastAsia="zh-CN"/>
        </w:rPr>
        <w:t xml:space="preserve">图2 </w:t>
      </w:r>
      <w:r>
        <w:rPr>
          <w:rFonts w:hint="eastAsia" w:ascii="Times New Roman" w:hAnsi="Times New Roman" w:eastAsia="宋体" w:cs="Times New Roman"/>
          <w:lang w:val="en-US" w:eastAsia="zh-CN"/>
        </w:rPr>
        <w:t>池窑法</w:t>
      </w:r>
      <w:r>
        <w:rPr>
          <w:rFonts w:hint="eastAsia" w:cs="Times New Roman"/>
          <w:lang w:val="en-US" w:eastAsia="zh-CN"/>
        </w:rPr>
        <w:t>玻璃纤维纱生产</w:t>
      </w:r>
      <w:r>
        <w:rPr>
          <w:rFonts w:hint="eastAsia"/>
          <w:lang w:val="en-US" w:eastAsia="zh-CN"/>
        </w:rPr>
        <w:t>温室气体排放核算边界示意图</w:t>
      </w:r>
    </w:p>
    <w:p>
      <w:pPr>
        <w:jc w:val="center"/>
        <w:rPr>
          <w:rFonts w:hint="eastAsia"/>
          <w:lang w:val="en-US" w:eastAsia="zh-CN"/>
        </w:rPr>
      </w:pPr>
    </w:p>
    <w:p>
      <w:pPr>
        <w:jc w:val="center"/>
      </w:pPr>
      <w:r>
        <w:drawing>
          <wp:inline distT="0" distB="0" distL="114300" distR="114300">
            <wp:extent cx="5039995" cy="1934845"/>
            <wp:effectExtent l="0" t="0" r="8255" b="8255"/>
            <wp:docPr id="1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3"/>
                    <pic:cNvPicPr>
                      <a:picLocks noChangeAspect="1"/>
                    </pic:cNvPicPr>
                  </pic:nvPicPr>
                  <pic:blipFill>
                    <a:blip r:embed="rId20"/>
                    <a:stretch>
                      <a:fillRect/>
                    </a:stretch>
                  </pic:blipFill>
                  <pic:spPr>
                    <a:xfrm>
                      <a:off x="0" y="0"/>
                      <a:ext cx="5039995" cy="193484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图3 坩埚</w:t>
      </w:r>
      <w:r>
        <w:rPr>
          <w:rFonts w:hint="eastAsia" w:ascii="Times New Roman" w:hAnsi="Times New Roman" w:eastAsia="宋体" w:cs="Times New Roman"/>
          <w:lang w:val="en-US" w:eastAsia="zh-CN"/>
        </w:rPr>
        <w:t>法</w:t>
      </w:r>
      <w:r>
        <w:rPr>
          <w:rFonts w:hint="eastAsia" w:cs="Times New Roman"/>
          <w:lang w:val="en-US" w:eastAsia="zh-CN"/>
        </w:rPr>
        <w:t>玻璃纤维纱生产</w:t>
      </w:r>
      <w:r>
        <w:rPr>
          <w:rFonts w:hint="eastAsia"/>
          <w:lang w:val="en-US" w:eastAsia="zh-CN"/>
        </w:rPr>
        <w:t>温室气体排放核算边界示意图</w:t>
      </w:r>
    </w:p>
    <w:p>
      <w:pPr>
        <w:jc w:val="center"/>
        <w:rPr>
          <w:rFonts w:hint="eastAsia"/>
          <w:lang w:val="en-US" w:eastAsia="zh-CN"/>
        </w:rPr>
      </w:pPr>
    </w:p>
    <w:p>
      <w:pPr>
        <w:jc w:val="center"/>
      </w:pPr>
      <w:r>
        <w:drawing>
          <wp:inline distT="0" distB="0" distL="114300" distR="114300">
            <wp:extent cx="5039995" cy="1934845"/>
            <wp:effectExtent l="0" t="0" r="8255" b="8255"/>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4"/>
                    <pic:cNvPicPr>
                      <a:picLocks noChangeAspect="1"/>
                    </pic:cNvPicPr>
                  </pic:nvPicPr>
                  <pic:blipFill>
                    <a:blip r:embed="rId21"/>
                    <a:stretch>
                      <a:fillRect/>
                    </a:stretch>
                  </pic:blipFill>
                  <pic:spPr>
                    <a:xfrm>
                      <a:off x="0" y="0"/>
                      <a:ext cx="5039995" cy="193484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图4 自产</w:t>
      </w:r>
      <w:r>
        <w:rPr>
          <w:rFonts w:hint="eastAsia" w:cs="Times New Roman"/>
          <w:lang w:val="en-US" w:eastAsia="zh-CN"/>
        </w:rPr>
        <w:t>玻璃纤维纱生产玻璃纤维制品的</w:t>
      </w:r>
      <w:r>
        <w:rPr>
          <w:rFonts w:hint="eastAsia"/>
          <w:lang w:val="en-US" w:eastAsia="zh-CN"/>
        </w:rPr>
        <w:t>温室气体排放核算边界示意图</w:t>
      </w:r>
    </w:p>
    <w:p>
      <w:pPr>
        <w:jc w:val="center"/>
      </w:pPr>
      <w:r>
        <w:drawing>
          <wp:inline distT="0" distB="0" distL="114300" distR="114300">
            <wp:extent cx="5039995" cy="1934845"/>
            <wp:effectExtent l="0" t="0" r="8255" b="8255"/>
            <wp:docPr id="1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5"/>
                    <pic:cNvPicPr>
                      <a:picLocks noChangeAspect="1"/>
                    </pic:cNvPicPr>
                  </pic:nvPicPr>
                  <pic:blipFill>
                    <a:blip r:embed="rId22"/>
                    <a:stretch>
                      <a:fillRect/>
                    </a:stretch>
                  </pic:blipFill>
                  <pic:spPr>
                    <a:xfrm>
                      <a:off x="0" y="0"/>
                      <a:ext cx="5039995" cy="193484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图5</w:t>
      </w:r>
      <w:bookmarkStart w:id="170" w:name="_GoBack"/>
      <w:bookmarkEnd w:id="170"/>
      <w:r>
        <w:rPr>
          <w:rFonts w:hint="eastAsia"/>
          <w:lang w:val="en-US" w:eastAsia="zh-CN"/>
        </w:rPr>
        <w:t xml:space="preserve"> 外购</w:t>
      </w:r>
      <w:r>
        <w:rPr>
          <w:rFonts w:hint="eastAsia" w:cs="Times New Roman"/>
          <w:lang w:val="en-US" w:eastAsia="zh-CN"/>
        </w:rPr>
        <w:t>玻璃纤维纱生产玻璃纤维制品的</w:t>
      </w:r>
      <w:r>
        <w:rPr>
          <w:rFonts w:hint="eastAsia"/>
          <w:lang w:val="en-US" w:eastAsia="zh-CN"/>
        </w:rPr>
        <w:t>温室气体排放核算边界示意图</w:t>
      </w:r>
    </w:p>
    <w:p>
      <w:pPr>
        <w:jc w:val="center"/>
        <w:rPr>
          <w:rFonts w:hint="default"/>
          <w:lang w:val="en-US" w:eastAsia="zh-CN"/>
        </w:rPr>
      </w:pPr>
    </w:p>
    <w:p>
      <w:pPr>
        <w:pStyle w:val="56"/>
        <w:outlineLvl w:val="1"/>
        <w:rPr>
          <w:rFonts w:hint="default"/>
          <w:color w:val="auto"/>
          <w:lang w:val="en-US" w:eastAsia="zh-CN"/>
        </w:rPr>
      </w:pPr>
      <w:bookmarkStart w:id="43" w:name="_Toc26850"/>
      <w:r>
        <w:rPr>
          <w:rFonts w:hint="eastAsia"/>
          <w:color w:val="auto"/>
          <w:lang w:val="en-US" w:eastAsia="zh-CN"/>
        </w:rPr>
        <w:t>排放源</w:t>
      </w:r>
      <w:bookmarkEnd w:id="43"/>
    </w:p>
    <w:p>
      <w:pPr>
        <w:pStyle w:val="60"/>
        <w:bidi w:val="0"/>
        <w:ind w:left="0" w:leftChars="0" w:firstLine="0" w:firstLineChars="0"/>
        <w:rPr>
          <w:rFonts w:hint="eastAsia"/>
          <w:lang w:val="en-US" w:eastAsia="zh-CN"/>
        </w:rPr>
      </w:pPr>
      <w:bookmarkStart w:id="44" w:name="pindex222"/>
      <w:bookmarkEnd w:id="44"/>
      <w:bookmarkStart w:id="45" w:name="_Toc12247"/>
      <w:bookmarkStart w:id="46" w:name="_Toc1844"/>
      <w:bookmarkStart w:id="47" w:name="_Toc28015"/>
      <w:bookmarkStart w:id="48" w:name="_Toc22258"/>
      <w:r>
        <w:rPr>
          <w:rFonts w:hint="eastAsia"/>
          <w:lang w:val="en-US" w:eastAsia="zh-CN"/>
        </w:rPr>
        <w:t>化石燃料燃烧排放</w:t>
      </w:r>
      <w:bookmarkEnd w:id="45"/>
      <w:bookmarkEnd w:id="46"/>
      <w:bookmarkEnd w:id="47"/>
      <w:bookmarkEnd w:id="48"/>
      <w:bookmarkStart w:id="49" w:name="pindex223"/>
      <w:bookmarkEnd w:id="49"/>
    </w:p>
    <w:p>
      <w:pPr>
        <w:ind w:firstLine="420" w:firstLineChars="200"/>
        <w:rPr>
          <w:rFonts w:hint="eastAsia" w:ascii="宋体" w:hAnsi="宋体" w:eastAsia="宋体" w:cs="宋体"/>
          <w:color w:val="000000"/>
        </w:rPr>
      </w:pPr>
      <w:r>
        <w:rPr>
          <w:rFonts w:hint="eastAsia" w:ascii="宋体" w:hAnsi="宋体" w:eastAsia="宋体" w:cs="宋体"/>
          <w:color w:val="000000"/>
        </w:rPr>
        <w:t>玻璃纤维</w:t>
      </w:r>
      <w:r>
        <w:rPr>
          <w:rFonts w:hint="eastAsia" w:ascii="宋体" w:hAnsi="宋体" w:cs="宋体"/>
          <w:color w:val="000000"/>
          <w:lang w:val="en-US" w:eastAsia="zh-CN"/>
        </w:rPr>
        <w:t>及制品</w:t>
      </w:r>
      <w:r>
        <w:rPr>
          <w:rFonts w:hint="eastAsia" w:ascii="宋体" w:hAnsi="宋体" w:eastAsia="宋体" w:cs="宋体"/>
          <w:color w:val="000000"/>
        </w:rPr>
        <w:t>生产企业</w:t>
      </w:r>
      <w:r>
        <w:rPr>
          <w:rFonts w:hint="eastAsia" w:ascii="宋体" w:hAnsi="宋体" w:eastAsia="宋体" w:cs="宋体"/>
          <w:color w:val="000000"/>
          <w:lang w:val="en-US" w:eastAsia="zh-CN"/>
        </w:rPr>
        <w:t>核算边界内</w:t>
      </w:r>
      <w:r>
        <w:rPr>
          <w:rFonts w:hint="eastAsia" w:ascii="Times New Roman"/>
        </w:rPr>
        <w:t>煤炭、柴油、汽油、天然气</w:t>
      </w:r>
      <w:r>
        <w:rPr>
          <w:rFonts w:hint="eastAsia" w:ascii="宋体" w:hAnsi="宋体" w:eastAsia="宋体" w:cs="宋体"/>
          <w:color w:val="000000"/>
        </w:rPr>
        <w:t>等化石燃料在各种类型的固定</w:t>
      </w:r>
      <w:r>
        <w:rPr>
          <w:rFonts w:hint="eastAsia" w:ascii="宋体" w:hAnsi="宋体" w:cs="宋体"/>
          <w:color w:val="000000"/>
          <w:lang w:val="en-US" w:eastAsia="zh-CN"/>
        </w:rPr>
        <w:t>源</w:t>
      </w:r>
      <w:r>
        <w:rPr>
          <w:rFonts w:hint="eastAsia" w:ascii="宋体" w:hAnsi="宋体" w:eastAsia="宋体" w:cs="宋体"/>
          <w:color w:val="000000"/>
        </w:rPr>
        <w:t>（如球窑、池窑、锅炉、内燃机等）或移动</w:t>
      </w:r>
      <w:r>
        <w:rPr>
          <w:rFonts w:hint="eastAsia" w:ascii="宋体" w:hAnsi="宋体" w:eastAsia="宋体" w:cs="宋体"/>
          <w:color w:val="000000"/>
          <w:lang w:val="en-US" w:eastAsia="zh-CN"/>
        </w:rPr>
        <w:t>源（</w:t>
      </w:r>
      <w:r>
        <w:rPr>
          <w:rFonts w:hint="eastAsia" w:ascii="宋体" w:hAnsi="宋体" w:cs="宋体"/>
          <w:color w:val="000000"/>
          <w:lang w:val="en-US" w:eastAsia="zh-CN"/>
        </w:rPr>
        <w:t>如</w:t>
      </w:r>
      <w:r>
        <w:rPr>
          <w:rFonts w:hint="eastAsia" w:ascii="宋体" w:hAnsi="宋体" w:eastAsia="宋体" w:cs="宋体"/>
          <w:color w:val="000000"/>
          <w:lang w:val="en-US" w:eastAsia="zh-CN"/>
        </w:rPr>
        <w:t>厂内机动车辆</w:t>
      </w:r>
      <w:r>
        <w:rPr>
          <w:rFonts w:hint="eastAsia" w:ascii="宋体" w:hAnsi="宋体" w:cs="宋体"/>
          <w:color w:val="000000"/>
          <w:lang w:val="en-US" w:eastAsia="zh-CN"/>
        </w:rPr>
        <w:t>等</w:t>
      </w:r>
      <w:r>
        <w:rPr>
          <w:rFonts w:hint="eastAsia" w:ascii="宋体" w:hAnsi="宋体" w:eastAsia="宋体" w:cs="宋体"/>
          <w:color w:val="000000"/>
          <w:lang w:val="en-US" w:eastAsia="zh-CN"/>
        </w:rPr>
        <w:t>）</w:t>
      </w:r>
      <w:r>
        <w:rPr>
          <w:rFonts w:hint="eastAsia" w:ascii="宋体" w:hAnsi="宋体" w:eastAsia="宋体" w:cs="宋体"/>
          <w:color w:val="000000"/>
        </w:rPr>
        <w:t>中发生氧化燃烧过程产生的</w:t>
      </w:r>
      <w:r>
        <w:rPr>
          <w:rFonts w:hint="eastAsia" w:ascii="宋体" w:hAnsi="宋体" w:cs="宋体"/>
          <w:color w:val="000000"/>
          <w:lang w:val="en-US" w:eastAsia="zh-CN"/>
        </w:rPr>
        <w:t>二氧化</w:t>
      </w:r>
      <w:r>
        <w:rPr>
          <w:rFonts w:hint="eastAsia" w:ascii="宋体" w:hAnsi="宋体" w:eastAsia="宋体" w:cs="宋体"/>
          <w:color w:val="000000"/>
        </w:rPr>
        <w:t>碳排放。</w:t>
      </w:r>
    </w:p>
    <w:p>
      <w:pPr>
        <w:pStyle w:val="60"/>
        <w:bidi w:val="0"/>
        <w:ind w:left="0" w:leftChars="0" w:firstLine="0" w:firstLineChars="0"/>
        <w:rPr>
          <w:rFonts w:hint="eastAsia"/>
          <w:lang w:val="en-US" w:eastAsia="zh-CN"/>
        </w:rPr>
      </w:pPr>
      <w:bookmarkStart w:id="50" w:name="_Toc5805"/>
      <w:bookmarkStart w:id="51" w:name="_Toc15708"/>
      <w:bookmarkStart w:id="52" w:name="_Toc26802"/>
      <w:bookmarkStart w:id="53" w:name="_Toc20896"/>
      <w:r>
        <w:rPr>
          <w:rFonts w:hint="eastAsia"/>
          <w:lang w:val="en-US" w:eastAsia="zh-CN"/>
        </w:rPr>
        <w:t>过程排放</w:t>
      </w:r>
      <w:bookmarkEnd w:id="50"/>
      <w:bookmarkEnd w:id="51"/>
      <w:bookmarkEnd w:id="52"/>
      <w:bookmarkEnd w:id="53"/>
      <w:bookmarkStart w:id="54" w:name="pindex225"/>
      <w:bookmarkEnd w:id="54"/>
    </w:p>
    <w:p>
      <w:pPr>
        <w:ind w:firstLine="420" w:firstLineChars="200"/>
        <w:rPr>
          <w:rFonts w:hint="eastAsia" w:ascii="宋体" w:hAnsi="宋体" w:eastAsia="宋体" w:cs="宋体"/>
          <w:color w:val="000000"/>
          <w:lang w:val="en-US" w:eastAsia="zh-CN"/>
        </w:rPr>
      </w:pPr>
      <w:r>
        <w:rPr>
          <w:rFonts w:hint="eastAsia" w:ascii="宋体" w:hAnsi="宋体" w:eastAsia="宋体" w:cs="宋体"/>
          <w:color w:val="000000"/>
        </w:rPr>
        <w:t>玻璃纤维</w:t>
      </w:r>
      <w:r>
        <w:rPr>
          <w:rFonts w:hint="eastAsia" w:ascii="宋体" w:hAnsi="宋体" w:cs="宋体"/>
          <w:color w:val="000000"/>
          <w:lang w:val="en-US" w:eastAsia="zh-CN"/>
        </w:rPr>
        <w:t>及制品</w:t>
      </w:r>
      <w:r>
        <w:rPr>
          <w:rFonts w:hint="eastAsia" w:ascii="宋体" w:hAnsi="宋体" w:eastAsia="宋体" w:cs="宋体"/>
          <w:color w:val="000000"/>
        </w:rPr>
        <w:t>生产企业</w:t>
      </w:r>
      <w:r>
        <w:rPr>
          <w:rFonts w:hint="eastAsia" w:ascii="宋体" w:hAnsi="宋体" w:eastAsia="宋体" w:cs="宋体"/>
          <w:color w:val="000000"/>
          <w:lang w:val="en-US" w:eastAsia="zh-CN"/>
        </w:rPr>
        <w:t>生产过程中，原材料反应产生的二氧化碳排放，如碳酸盐分解、碳粉氧化等</w:t>
      </w:r>
      <w:r>
        <w:rPr>
          <w:rFonts w:hint="eastAsia" w:ascii="宋体" w:hAnsi="宋体" w:cs="宋体"/>
          <w:color w:val="000000"/>
          <w:lang w:val="en-US" w:eastAsia="zh-CN"/>
        </w:rPr>
        <w:t>。</w:t>
      </w:r>
    </w:p>
    <w:p>
      <w:pPr>
        <w:pStyle w:val="60"/>
        <w:bidi w:val="0"/>
        <w:ind w:left="0" w:leftChars="0" w:firstLine="0" w:firstLineChars="0"/>
        <w:rPr>
          <w:rFonts w:hint="eastAsia"/>
          <w:lang w:val="en-US" w:eastAsia="zh-CN"/>
        </w:rPr>
      </w:pPr>
      <w:bookmarkStart w:id="55" w:name="_Toc23886"/>
      <w:bookmarkStart w:id="56" w:name="_Toc233"/>
      <w:bookmarkStart w:id="57" w:name="_Toc2252"/>
      <w:bookmarkStart w:id="58" w:name="_Toc18881"/>
      <w:r>
        <w:rPr>
          <w:rFonts w:hint="eastAsia"/>
          <w:lang w:val="en-US" w:eastAsia="zh-CN"/>
        </w:rPr>
        <w:t>净购入使用电力产生的排放</w:t>
      </w:r>
      <w:bookmarkEnd w:id="55"/>
      <w:bookmarkEnd w:id="56"/>
      <w:bookmarkEnd w:id="57"/>
      <w:bookmarkEnd w:id="58"/>
      <w:bookmarkStart w:id="59" w:name="pindex227"/>
      <w:bookmarkEnd w:id="59"/>
    </w:p>
    <w:p>
      <w:pPr>
        <w:ind w:firstLine="420" w:firstLineChars="200"/>
        <w:rPr>
          <w:rFonts w:hint="eastAsia" w:ascii="宋体" w:hAnsi="宋体" w:eastAsia="宋体" w:cs="宋体"/>
          <w:color w:val="000000"/>
        </w:rPr>
      </w:pPr>
      <w:bookmarkStart w:id="60" w:name="sys228032"/>
      <w:r>
        <w:rPr>
          <w:rFonts w:hint="eastAsia" w:ascii="宋体" w:hAnsi="宋体" w:eastAsia="宋体" w:cs="宋体"/>
          <w:color w:val="000000"/>
        </w:rPr>
        <w:t>玻璃纤维</w:t>
      </w:r>
      <w:r>
        <w:rPr>
          <w:rFonts w:hint="eastAsia" w:ascii="宋体" w:hAnsi="宋体" w:cs="宋体"/>
          <w:color w:val="000000"/>
          <w:lang w:val="en-US" w:eastAsia="zh-CN"/>
        </w:rPr>
        <w:t>及制品</w:t>
      </w:r>
      <w:r>
        <w:rPr>
          <w:rFonts w:ascii="Times New Roman"/>
        </w:rPr>
        <w:t>生产企业</w:t>
      </w:r>
      <w:r>
        <w:rPr>
          <w:rFonts w:hint="eastAsia" w:ascii="Times New Roman"/>
        </w:rPr>
        <w:t>净</w:t>
      </w:r>
      <w:r>
        <w:rPr>
          <w:rFonts w:ascii="Times New Roman"/>
        </w:rPr>
        <w:t>购入</w:t>
      </w:r>
      <w:r>
        <w:rPr>
          <w:rFonts w:hint="eastAsia" w:ascii="Times New Roman"/>
        </w:rPr>
        <w:t>使用</w:t>
      </w:r>
      <w:r>
        <w:rPr>
          <w:rFonts w:ascii="Times New Roman"/>
        </w:rPr>
        <w:t>电力所对应的生产环节产生的</w:t>
      </w:r>
      <w:r>
        <w:rPr>
          <w:rFonts w:hint="eastAsia" w:ascii="Times New Roman"/>
        </w:rPr>
        <w:t>二氧化碳</w:t>
      </w:r>
      <w:r>
        <w:rPr>
          <w:rFonts w:ascii="Times New Roman"/>
        </w:rPr>
        <w:t>排放</w:t>
      </w:r>
      <w:r>
        <w:rPr>
          <w:rFonts w:hint="eastAsia" w:ascii="宋体" w:hAnsi="宋体" w:eastAsia="宋体" w:cs="宋体"/>
          <w:color w:val="000000"/>
        </w:rPr>
        <w:t>。</w:t>
      </w:r>
      <w:bookmarkEnd w:id="60"/>
    </w:p>
    <w:p>
      <w:pPr>
        <w:pStyle w:val="60"/>
        <w:bidi w:val="0"/>
        <w:ind w:left="0" w:leftChars="0" w:firstLine="0" w:firstLineChars="0"/>
        <w:rPr>
          <w:rFonts w:hint="eastAsia"/>
          <w:lang w:val="en-US" w:eastAsia="zh-CN"/>
        </w:rPr>
      </w:pPr>
      <w:bookmarkStart w:id="61" w:name="sys230032"/>
      <w:r>
        <w:rPr>
          <w:rFonts w:hint="eastAsia"/>
          <w:lang w:val="en-US" w:eastAsia="zh-CN"/>
        </w:rPr>
        <w:t>净购入使用热力产生的排放</w:t>
      </w:r>
    </w:p>
    <w:p>
      <w:pPr>
        <w:ind w:firstLine="420" w:firstLineChars="200"/>
        <w:rPr>
          <w:rFonts w:hint="eastAsia" w:ascii="宋体" w:hAnsi="宋体" w:eastAsia="宋体" w:cs="宋体"/>
          <w:color w:val="000000"/>
        </w:rPr>
      </w:pPr>
      <w:r>
        <w:rPr>
          <w:rFonts w:hint="eastAsia" w:ascii="宋体" w:hAnsi="宋体" w:eastAsia="宋体" w:cs="宋体"/>
          <w:color w:val="000000"/>
        </w:rPr>
        <w:t>玻璃纤维</w:t>
      </w:r>
      <w:r>
        <w:rPr>
          <w:rFonts w:hint="eastAsia" w:ascii="宋体" w:hAnsi="宋体" w:cs="宋体"/>
          <w:color w:val="000000"/>
          <w:lang w:val="en-US" w:eastAsia="zh-CN"/>
        </w:rPr>
        <w:t>及制品</w:t>
      </w:r>
      <w:r>
        <w:rPr>
          <w:rFonts w:ascii="Times New Roman"/>
        </w:rPr>
        <w:t>生产企业</w:t>
      </w:r>
      <w:r>
        <w:rPr>
          <w:rFonts w:hint="eastAsia" w:ascii="Times New Roman"/>
        </w:rPr>
        <w:t>净</w:t>
      </w:r>
      <w:r>
        <w:rPr>
          <w:rFonts w:ascii="Times New Roman"/>
        </w:rPr>
        <w:t>购入</w:t>
      </w:r>
      <w:r>
        <w:rPr>
          <w:rFonts w:hint="eastAsia" w:ascii="Times New Roman"/>
        </w:rPr>
        <w:t>使用</w:t>
      </w:r>
      <w:r>
        <w:rPr>
          <w:rFonts w:ascii="Times New Roman"/>
        </w:rPr>
        <w:t>热力所对应的生产环节产生的</w:t>
      </w:r>
      <w:r>
        <w:rPr>
          <w:rFonts w:hint="eastAsia" w:ascii="Times New Roman"/>
        </w:rPr>
        <w:t>二氧化碳</w:t>
      </w:r>
      <w:r>
        <w:rPr>
          <w:rFonts w:ascii="Times New Roman"/>
        </w:rPr>
        <w:t>排</w:t>
      </w:r>
      <w:r>
        <w:rPr>
          <w:rFonts w:hint="eastAsia" w:ascii="宋体" w:hAnsi="宋体" w:eastAsia="宋体" w:cs="宋体"/>
          <w:color w:val="000000"/>
        </w:rPr>
        <w:t>放。</w:t>
      </w:r>
      <w:bookmarkEnd w:id="61"/>
    </w:p>
    <w:p>
      <w:pPr>
        <w:pStyle w:val="59"/>
        <w:outlineLvl w:val="0"/>
        <w:rPr>
          <w:color w:val="auto"/>
        </w:rPr>
      </w:pPr>
      <w:bookmarkStart w:id="62" w:name="pindex231"/>
      <w:bookmarkEnd w:id="62"/>
      <w:bookmarkStart w:id="63" w:name="_Toc1169"/>
      <w:bookmarkStart w:id="64" w:name="_Toc13024"/>
      <w:bookmarkStart w:id="65" w:name="_Toc23987"/>
      <w:r>
        <w:rPr>
          <w:rFonts w:hint="eastAsia"/>
          <w:color w:val="auto"/>
          <w:lang w:val="en-US" w:eastAsia="zh-CN"/>
        </w:rPr>
        <w:t>核算步骤</w:t>
      </w:r>
      <w:bookmarkEnd w:id="63"/>
      <w:r>
        <w:rPr>
          <w:rFonts w:hint="eastAsia"/>
          <w:color w:val="auto"/>
          <w:lang w:val="en-US" w:eastAsia="zh-CN"/>
        </w:rPr>
        <w:t xml:space="preserve"> </w:t>
      </w:r>
    </w:p>
    <w:p>
      <w:pPr>
        <w:pStyle w:val="159"/>
        <w:ind w:firstLine="420"/>
        <w:rPr>
          <w:rFonts w:ascii="Times New Roman"/>
        </w:rPr>
      </w:pPr>
      <w:r>
        <w:rPr>
          <w:rFonts w:ascii="Times New Roman"/>
        </w:rPr>
        <w:t>报告主体进行企业</w:t>
      </w:r>
      <w:r>
        <w:rPr>
          <w:rFonts w:hint="eastAsia" w:ascii="Times New Roman"/>
        </w:rPr>
        <w:t>温室气体</w:t>
      </w:r>
      <w:r>
        <w:rPr>
          <w:rFonts w:ascii="Times New Roman"/>
        </w:rPr>
        <w:t>排放核算和报告的工作流程包括以下步骤：</w:t>
      </w:r>
    </w:p>
    <w:p>
      <w:pPr>
        <w:pStyle w:val="165"/>
        <w:numPr>
          <w:ilvl w:val="0"/>
          <w:numId w:val="23"/>
        </w:numPr>
        <w:rPr>
          <w:rFonts w:ascii="Times New Roman"/>
        </w:rPr>
      </w:pPr>
      <w:r>
        <w:rPr>
          <w:rFonts w:ascii="Times New Roman"/>
        </w:rPr>
        <w:t>确定核算边界，识别</w:t>
      </w:r>
      <w:r>
        <w:rPr>
          <w:rFonts w:hint="eastAsia" w:ascii="Times New Roman"/>
        </w:rPr>
        <w:t>温室气体</w:t>
      </w:r>
      <w:r>
        <w:rPr>
          <w:rFonts w:ascii="Times New Roman"/>
        </w:rPr>
        <w:t>排放源；</w:t>
      </w:r>
    </w:p>
    <w:p>
      <w:pPr>
        <w:pStyle w:val="165"/>
        <w:numPr>
          <w:ilvl w:val="0"/>
          <w:numId w:val="23"/>
        </w:numPr>
        <w:rPr>
          <w:rFonts w:ascii="Times New Roman"/>
        </w:rPr>
      </w:pPr>
      <w:r>
        <w:rPr>
          <w:rFonts w:ascii="Times New Roman"/>
        </w:rPr>
        <w:t>制订</w:t>
      </w:r>
      <w:r>
        <w:rPr>
          <w:rFonts w:hint="eastAsia" w:ascii="Times New Roman"/>
        </w:rPr>
        <w:t>数据源管理制度及数据质量控制计划</w:t>
      </w:r>
      <w:r>
        <w:rPr>
          <w:rFonts w:ascii="Times New Roman"/>
        </w:rPr>
        <w:t>；</w:t>
      </w:r>
    </w:p>
    <w:p>
      <w:pPr>
        <w:pStyle w:val="165"/>
        <w:numPr>
          <w:ilvl w:val="0"/>
          <w:numId w:val="23"/>
        </w:numPr>
        <w:rPr>
          <w:rFonts w:ascii="Times New Roman"/>
        </w:rPr>
      </w:pPr>
      <w:r>
        <w:rPr>
          <w:rFonts w:ascii="Times New Roman"/>
        </w:rPr>
        <w:t>收集活动数据，选择和获取排放因子数据；</w:t>
      </w:r>
    </w:p>
    <w:p>
      <w:pPr>
        <w:pStyle w:val="165"/>
        <w:numPr>
          <w:ilvl w:val="0"/>
          <w:numId w:val="23"/>
        </w:numPr>
        <w:rPr>
          <w:rFonts w:ascii="Times New Roman"/>
        </w:rPr>
      </w:pPr>
      <w:r>
        <w:rPr>
          <w:rFonts w:ascii="Times New Roman"/>
        </w:rPr>
        <w:t>分别计算</w:t>
      </w:r>
      <w:r>
        <w:rPr>
          <w:rFonts w:hint="eastAsia" w:ascii="Times New Roman"/>
        </w:rPr>
        <w:t>化石</w:t>
      </w:r>
      <w:r>
        <w:rPr>
          <w:rFonts w:ascii="Times New Roman"/>
        </w:rPr>
        <w:t>燃料燃烧排放量、</w:t>
      </w:r>
      <w:r>
        <w:rPr>
          <w:rFonts w:hint="eastAsia" w:ascii="Times New Roman"/>
          <w:lang w:val="en-US" w:eastAsia="zh-CN"/>
        </w:rPr>
        <w:t>过程排放量、净</w:t>
      </w:r>
      <w:r>
        <w:rPr>
          <w:rFonts w:ascii="Times New Roman"/>
        </w:rPr>
        <w:t>购入</w:t>
      </w:r>
      <w:r>
        <w:rPr>
          <w:rFonts w:hint="eastAsia" w:ascii="Times New Roman"/>
          <w:lang w:val="en-US" w:eastAsia="zh-CN"/>
        </w:rPr>
        <w:t>使用</w:t>
      </w:r>
      <w:r>
        <w:rPr>
          <w:rFonts w:ascii="Times New Roman"/>
        </w:rPr>
        <w:t>电力</w:t>
      </w:r>
      <w:r>
        <w:rPr>
          <w:rFonts w:hint="eastAsia" w:ascii="Times New Roman"/>
          <w:lang w:val="en-US" w:eastAsia="zh-CN"/>
        </w:rPr>
        <w:t>所对应的排放量和净购入使用</w:t>
      </w:r>
      <w:r>
        <w:rPr>
          <w:rFonts w:ascii="Times New Roman"/>
        </w:rPr>
        <w:t>热力所对应的排放量；</w:t>
      </w:r>
    </w:p>
    <w:p>
      <w:pPr>
        <w:pStyle w:val="165"/>
        <w:numPr>
          <w:ilvl w:val="0"/>
          <w:numId w:val="23"/>
        </w:numPr>
        <w:rPr>
          <w:rFonts w:ascii="Times New Roman"/>
        </w:rPr>
      </w:pPr>
      <w:r>
        <w:rPr>
          <w:rFonts w:ascii="Times New Roman"/>
        </w:rPr>
        <w:t>汇总计算企业</w:t>
      </w:r>
      <w:r>
        <w:rPr>
          <w:rFonts w:hint="eastAsia" w:ascii="Times New Roman"/>
        </w:rPr>
        <w:t>温室气体</w:t>
      </w:r>
      <w:r>
        <w:rPr>
          <w:rFonts w:ascii="Times New Roman"/>
        </w:rPr>
        <w:t>排放总量。</w:t>
      </w:r>
    </w:p>
    <w:p>
      <w:pPr>
        <w:pStyle w:val="26"/>
      </w:pPr>
    </w:p>
    <w:p>
      <w:pPr>
        <w:pStyle w:val="59"/>
        <w:outlineLvl w:val="0"/>
        <w:rPr>
          <w:color w:val="auto"/>
        </w:rPr>
      </w:pPr>
      <w:bookmarkStart w:id="66" w:name="_Toc17133"/>
      <w:r>
        <w:rPr>
          <w:rFonts w:hint="eastAsia"/>
          <w:color w:val="auto"/>
        </w:rPr>
        <w:t>核算</w:t>
      </w:r>
      <w:bookmarkStart w:id="67" w:name="pindex235"/>
      <w:bookmarkEnd w:id="67"/>
      <w:r>
        <w:rPr>
          <w:rFonts w:hint="eastAsia"/>
          <w:color w:val="auto"/>
          <w:lang w:val="en-US" w:eastAsia="zh-CN"/>
        </w:rPr>
        <w:t>要求及排放量计算</w:t>
      </w:r>
      <w:bookmarkEnd w:id="66"/>
    </w:p>
    <w:p>
      <w:pPr>
        <w:pStyle w:val="56"/>
        <w:bidi w:val="0"/>
        <w:ind w:left="0" w:leftChars="0" w:firstLine="0" w:firstLineChars="0"/>
      </w:pPr>
      <w:bookmarkStart w:id="68" w:name="pindex245"/>
      <w:bookmarkEnd w:id="68"/>
      <w:bookmarkStart w:id="69" w:name="_Toc25665"/>
      <w:bookmarkStart w:id="70" w:name="_Toc12640"/>
      <w:bookmarkStart w:id="71" w:name="_Toc18410"/>
      <w:bookmarkStart w:id="72" w:name="_Toc12942"/>
      <w:bookmarkStart w:id="73" w:name="_Toc20242"/>
      <w:bookmarkStart w:id="74" w:name="_Toc206"/>
      <w:r>
        <w:rPr>
          <w:rFonts w:hint="eastAsia"/>
          <w:lang w:val="en-US" w:eastAsia="zh-CN"/>
        </w:rPr>
        <w:t>化石</w:t>
      </w:r>
      <w:r>
        <w:rPr>
          <w:rFonts w:hint="eastAsia"/>
        </w:rPr>
        <w:t>燃料燃烧排放</w:t>
      </w:r>
      <w:bookmarkEnd w:id="69"/>
      <w:bookmarkEnd w:id="70"/>
      <w:bookmarkEnd w:id="71"/>
      <w:bookmarkEnd w:id="72"/>
      <w:bookmarkEnd w:id="73"/>
      <w:bookmarkEnd w:id="74"/>
      <w:bookmarkStart w:id="75" w:name="pindex259"/>
      <w:bookmarkEnd w:id="75"/>
    </w:p>
    <w:p>
      <w:pPr>
        <w:pStyle w:val="60"/>
        <w:bidi w:val="0"/>
        <w:ind w:left="0" w:leftChars="0" w:firstLine="0" w:firstLineChars="0"/>
        <w:rPr>
          <w:rFonts w:hint="eastAsia"/>
        </w:rPr>
      </w:pPr>
      <w:r>
        <w:rPr>
          <w:rFonts w:hint="eastAsia"/>
        </w:rPr>
        <w:t>计算公式</w:t>
      </w:r>
      <w:bookmarkStart w:id="76" w:name="pindex260"/>
      <w:bookmarkEnd w:id="76"/>
    </w:p>
    <w:p>
      <w:pPr>
        <w:pStyle w:val="159"/>
        <w:ind w:firstLine="420"/>
        <w:rPr>
          <w:rFonts w:ascii="Times New Roman"/>
        </w:rPr>
      </w:pPr>
      <w:r>
        <w:rPr>
          <w:rFonts w:hint="eastAsia" w:ascii="Times New Roman"/>
          <w:lang w:val="en-US" w:eastAsia="zh-CN"/>
        </w:rPr>
        <w:t>玻璃纤维及制品</w:t>
      </w:r>
      <w:r>
        <w:rPr>
          <w:rFonts w:ascii="Times New Roman"/>
        </w:rPr>
        <w:t>生产</w:t>
      </w:r>
      <w:r>
        <w:rPr>
          <w:rFonts w:hint="eastAsia" w:ascii="Times New Roman"/>
        </w:rPr>
        <w:t>企业化石燃料燃烧产生的二氧化碳排放量是核算和报告期内企业各种化石燃料燃烧产生的二氧化碳排放量的总和，按</w:t>
      </w:r>
      <w:r>
        <w:rPr>
          <w:rFonts w:hint="eastAsia" w:ascii="Times New Roman"/>
          <w:lang w:val="en-US" w:eastAsia="zh-CN"/>
        </w:rPr>
        <w:t>公式</w:t>
      </w:r>
      <w:r>
        <w:rPr>
          <w:rFonts w:hint="eastAsia" w:ascii="Times New Roman"/>
        </w:rPr>
        <w:t>（</w:t>
      </w:r>
      <w:r>
        <w:rPr>
          <w:rFonts w:hint="eastAsia" w:ascii="Times New Roman"/>
          <w:lang w:val="en-US" w:eastAsia="zh-CN"/>
        </w:rPr>
        <w:t>1</w:t>
      </w:r>
      <w:r>
        <w:rPr>
          <w:rFonts w:hint="eastAsia" w:ascii="Times New Roman"/>
        </w:rPr>
        <w:t>）计算：</w:t>
      </w:r>
    </w:p>
    <w:p>
      <w:pPr>
        <w:pStyle w:val="166"/>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燃烧</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(A</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r>
          <m:rPr/>
          <w:rPr>
            <w:rFonts w:ascii="Cambria Math" w:hAnsi="Cambria Math"/>
          </w:rPr>
          <m:t>×E</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1</w:t>
      </w:r>
      <w:r>
        <w:rPr>
          <w:rFonts w:hint="eastAsia" w:ascii="Times New Roman" w:hAnsi="Times New Roman"/>
        </w:rPr>
        <w:t>）</w:t>
      </w:r>
    </w:p>
    <w:p>
      <w:pPr>
        <w:pStyle w:val="167"/>
        <w:ind w:firstLine="420"/>
        <w:rPr>
          <w:rFonts w:ascii="Times New Roman" w:hAnsi="Times New Roman"/>
        </w:rPr>
      </w:pPr>
      <w:r>
        <w:rPr>
          <w:rFonts w:ascii="Times New Roman" w:hAnsi="Times New Roman"/>
        </w:rPr>
        <w:t>式中：</w:t>
      </w:r>
    </w:p>
    <w:tbl>
      <w:tblPr>
        <w:tblStyle w:val="39"/>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7"/>
        <w:gridCol w:w="340"/>
        <w:gridCol w:w="8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567" w:type="dxa"/>
            <w:vAlign w:val="top"/>
          </w:tcPr>
          <w:p>
            <w:pPr>
              <w:pStyle w:val="159"/>
              <w:adjustRightInd w:val="0"/>
              <w:snapToGrid w:val="0"/>
              <w:ind w:firstLine="0" w:firstLineChars="0"/>
              <w:rPr>
                <w:rFonts w:ascii="Cambria Math" w:hAnsi="Cambria Math"/>
                <w:i/>
                <w:szCs w:val="18"/>
                <w:oMath/>
              </w:rPr>
            </w:pPr>
            <m:oMathPara>
              <m:oMathParaPr>
                <m:jc m:val="left"/>
              </m:oMathParaPr>
              <m:oMath>
                <m:sSub>
                  <m:sSubPr>
                    <m:ctrlPr>
                      <w:rPr>
                        <w:rFonts w:ascii="Cambria Math" w:hAnsi="Cambria Math"/>
                        <w:i/>
                        <w:iCs/>
                        <w:szCs w:val="18"/>
                      </w:rPr>
                    </m:ctrlPr>
                  </m:sSubPr>
                  <m:e>
                    <m:r>
                      <m:rPr/>
                      <w:rPr>
                        <w:rFonts w:ascii="Cambria Math" w:hAnsi="Cambria Math"/>
                        <w:szCs w:val="18"/>
                      </w:rPr>
                      <m:t>E</m:t>
                    </m:r>
                    <m:ctrlPr>
                      <w:rPr>
                        <w:rFonts w:ascii="Cambria Math" w:hAnsi="Cambria Math"/>
                        <w:i/>
                        <w:iCs/>
                        <w:szCs w:val="18"/>
                      </w:rPr>
                    </m:ctrlPr>
                  </m:e>
                  <m:sub>
                    <m:r>
                      <m:rPr/>
                      <w:rPr>
                        <w:rFonts w:ascii="Cambria Math" w:hAnsi="Cambria Math"/>
                        <w:szCs w:val="18"/>
                      </w:rPr>
                      <m:t>燃烧</m:t>
                    </m:r>
                    <m:ctrlPr>
                      <w:rPr>
                        <w:rFonts w:ascii="Cambria Math" w:hAnsi="Cambria Math"/>
                        <w:i/>
                        <w:iCs/>
                        <w:szCs w:val="18"/>
                      </w:rPr>
                    </m:ctrlPr>
                  </m:sub>
                </m:sSub>
              </m:oMath>
            </m:oMathPara>
          </w:p>
        </w:tc>
        <w:tc>
          <w:tcPr>
            <w:tcW w:w="340" w:type="dxa"/>
            <w:vAlign w:val="top"/>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220" w:type="dxa"/>
            <w:vAlign w:val="top"/>
          </w:tcPr>
          <w:p>
            <w:pPr>
              <w:pStyle w:val="159"/>
              <w:adjustRightInd w:val="0"/>
              <w:snapToGrid w:val="0"/>
              <w:ind w:left="-105" w:leftChars="-50" w:firstLine="0" w:firstLineChars="0"/>
              <w:rPr>
                <w:rFonts w:ascii="Times New Roman"/>
                <w:szCs w:val="18"/>
              </w:rPr>
            </w:pPr>
            <w:r>
              <w:rPr>
                <w:rFonts w:hint="eastAsia" w:ascii="Times New Roman"/>
                <w:szCs w:val="18"/>
              </w:rPr>
              <w:t>企业</w:t>
            </w:r>
            <w:r>
              <w:rPr>
                <w:rFonts w:ascii="Times New Roman"/>
                <w:szCs w:val="18"/>
              </w:rPr>
              <w:t>化石燃料燃烧产生的二氧化碳排放量，</w:t>
            </w:r>
            <w:r>
              <w:rPr>
                <w:rFonts w:hint="eastAsia" w:ascii="Times New Roman"/>
                <w:szCs w:val="18"/>
              </w:rPr>
              <w:t>以</w:t>
            </w:r>
            <w:r>
              <w:rPr>
                <w:rFonts w:ascii="Times New Roman"/>
                <w:szCs w:val="18"/>
              </w:rPr>
              <w:t>吨二氧化碳（tCO</w:t>
            </w:r>
            <w:r>
              <w:rPr>
                <w:rFonts w:ascii="Times New Roman"/>
                <w:szCs w:val="18"/>
                <w:vertAlign w:val="subscript"/>
              </w:rPr>
              <w:t>2</w:t>
            </w:r>
            <w:r>
              <w:rPr>
                <w:rFonts w:ascii="Times New Roman"/>
                <w:szCs w:val="18"/>
              </w:rPr>
              <w:t>）</w:t>
            </w:r>
            <w:r>
              <w:rPr>
                <w:rFonts w:hint="eastAsia" w:ascii="Times New Roman"/>
                <w:szCs w:val="18"/>
              </w:rPr>
              <w:t>计</w:t>
            </w:r>
            <w:r>
              <w:rPr>
                <w:rFonts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567" w:type="dxa"/>
          </w:tcPr>
          <w:p>
            <w:pPr>
              <w:pStyle w:val="159"/>
              <w:adjustRightInd w:val="0"/>
              <w:snapToGrid w:val="0"/>
              <w:ind w:firstLine="0" w:firstLineChars="0"/>
              <w:rPr>
                <w:rFonts w:ascii="Times New Roman"/>
                <w:szCs w:val="18"/>
              </w:rPr>
            </w:pPr>
            <m:oMathPara>
              <m:oMathParaPr>
                <m:jc m:val="left"/>
              </m:oMathParaPr>
              <m:oMath>
                <m:r>
                  <m:rPr/>
                  <w:rPr>
                    <w:rFonts w:ascii="Cambria Math" w:hAnsi="Cambria Math"/>
                    <w:szCs w:val="18"/>
                  </w:rPr>
                  <m:t>A</m:t>
                </m:r>
                <m:sSub>
                  <m:sSubPr>
                    <m:ctrlPr>
                      <w:rPr>
                        <w:rFonts w:ascii="Cambria Math" w:hAnsi="Cambria Math"/>
                        <w:i/>
                        <w:szCs w:val="18"/>
                      </w:rPr>
                    </m:ctrlPr>
                  </m:sSubPr>
                  <m:e>
                    <m:r>
                      <m:rPr/>
                      <w:rPr>
                        <w:rFonts w:ascii="Cambria Math" w:hAnsi="Cambria Math"/>
                        <w:szCs w:val="18"/>
                      </w:rPr>
                      <m:t>D</m:t>
                    </m:r>
                    <m:ctrlPr>
                      <w:rPr>
                        <w:rFonts w:ascii="Cambria Math" w:hAnsi="Cambria Math"/>
                        <w:i/>
                        <w:szCs w:val="18"/>
                      </w:rPr>
                    </m:ctrlPr>
                  </m:e>
                  <m:sub>
                    <m:r>
                      <m:rPr/>
                      <w:rPr>
                        <w:rFonts w:ascii="Cambria Math" w:hAnsi="Cambria Math"/>
                        <w:szCs w:val="18"/>
                      </w:rPr>
                      <m:t>i</m:t>
                    </m:r>
                    <m:ctrlPr>
                      <w:rPr>
                        <w:rFonts w:ascii="Cambria Math" w:hAnsi="Cambria Math"/>
                        <w:i/>
                        <w:szCs w:val="18"/>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220" w:type="dxa"/>
          </w:tcPr>
          <w:p>
            <w:pPr>
              <w:pStyle w:val="159"/>
              <w:adjustRightInd w:val="0"/>
              <w:snapToGrid w:val="0"/>
              <w:ind w:left="-105" w:leftChars="-50" w:firstLine="0" w:firstLineChars="0"/>
              <w:rPr>
                <w:rFonts w:ascii="Times New Roman"/>
                <w:szCs w:val="18"/>
              </w:rPr>
            </w:pPr>
            <w:r>
              <w:rPr>
                <w:rFonts w:ascii="Times New Roman"/>
                <w:szCs w:val="18"/>
              </w:rPr>
              <w:t>核算和报告期内消耗的第</w:t>
            </w:r>
            <m:oMath>
              <m:r>
                <m:rPr/>
                <w:rPr>
                  <w:rFonts w:ascii="Cambria Math" w:hAnsi="Cambria Math"/>
                  <w:szCs w:val="18"/>
                </w:rPr>
                <m:t>i</m:t>
              </m:r>
            </m:oMath>
            <w:r>
              <w:rPr>
                <w:rFonts w:ascii="Times New Roman"/>
                <w:szCs w:val="18"/>
              </w:rPr>
              <w:t>种化石燃料的活动数据，</w:t>
            </w:r>
            <w:r>
              <w:rPr>
                <w:rFonts w:hint="eastAsia" w:ascii="Times New Roman"/>
                <w:szCs w:val="18"/>
              </w:rPr>
              <w:t>以</w:t>
            </w:r>
            <w:r>
              <w:rPr>
                <w:rFonts w:ascii="Times New Roman"/>
                <w:szCs w:val="18"/>
              </w:rPr>
              <w:t>吉焦（GJ）</w:t>
            </w:r>
            <w:r>
              <w:rPr>
                <w:rFonts w:hint="eastAsia" w:ascii="Times New Roman"/>
                <w:szCs w:val="18"/>
              </w:rPr>
              <w:t>计</w:t>
            </w:r>
            <w:r>
              <w:rPr>
                <w:rFonts w:ascii="Times New Roman"/>
                <w:szCs w:val="18"/>
              </w:rPr>
              <w:t>，按</w:t>
            </w:r>
            <w:r>
              <w:rPr>
                <w:rFonts w:hint="eastAsia" w:ascii="Times New Roman"/>
                <w:szCs w:val="18"/>
                <w:lang w:eastAsia="zh-CN"/>
              </w:rPr>
              <w:t>公式（</w:t>
            </w:r>
            <w:r>
              <w:rPr>
                <w:rFonts w:hint="eastAsia" w:ascii="Times New Roman"/>
                <w:szCs w:val="18"/>
                <w:lang w:val="en-US" w:eastAsia="zh-CN"/>
              </w:rPr>
              <w:t>2</w:t>
            </w:r>
            <w:r>
              <w:rPr>
                <w:rFonts w:ascii="Times New Roman"/>
                <w:szCs w:val="18"/>
              </w:rPr>
              <w:t>）计算；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567" w:type="dxa"/>
          </w:tcPr>
          <w:p>
            <w:pPr>
              <w:pStyle w:val="159"/>
              <w:adjustRightInd w:val="0"/>
              <w:snapToGrid w:val="0"/>
              <w:ind w:firstLine="0" w:firstLineChars="0"/>
              <w:rPr>
                <w:rFonts w:ascii="Times New Roman"/>
                <w:iCs/>
                <w:szCs w:val="18"/>
              </w:rPr>
            </w:pPr>
            <m:oMathPara>
              <m:oMathParaPr>
                <m:jc m:val="left"/>
              </m:oMathParaPr>
              <m:oMath>
                <m:r>
                  <m:rPr/>
                  <w:rPr>
                    <w:rFonts w:ascii="Cambria Math" w:hAnsi="Cambria Math"/>
                    <w:szCs w:val="18"/>
                  </w:rPr>
                  <m:t>E</m:t>
                </m:r>
                <m:sSub>
                  <m:sSubPr>
                    <m:ctrlPr>
                      <w:rPr>
                        <w:rFonts w:ascii="Cambria Math" w:hAnsi="Cambria Math"/>
                        <w:i/>
                        <w:szCs w:val="18"/>
                      </w:rPr>
                    </m:ctrlPr>
                  </m:sSubPr>
                  <m:e>
                    <m:r>
                      <m:rPr/>
                      <w:rPr>
                        <w:rFonts w:ascii="Cambria Math" w:hAnsi="Cambria Math"/>
                        <w:szCs w:val="18"/>
                      </w:rPr>
                      <m:t>F</m:t>
                    </m:r>
                    <m:ctrlPr>
                      <w:rPr>
                        <w:rFonts w:ascii="Cambria Math" w:hAnsi="Cambria Math"/>
                        <w:i/>
                        <w:szCs w:val="18"/>
                      </w:rPr>
                    </m:ctrlPr>
                  </m:e>
                  <m:sub>
                    <m:r>
                      <m:rPr/>
                      <w:rPr>
                        <w:rFonts w:ascii="Cambria Math" w:hAnsi="Cambria Math"/>
                        <w:szCs w:val="18"/>
                      </w:rPr>
                      <m:t>i</m:t>
                    </m:r>
                    <m:ctrlPr>
                      <w:rPr>
                        <w:rFonts w:ascii="Cambria Math" w:hAnsi="Cambria Math"/>
                        <w:i/>
                        <w:szCs w:val="18"/>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220" w:type="dxa"/>
          </w:tcPr>
          <w:p>
            <w:pPr>
              <w:pStyle w:val="159"/>
              <w:adjustRightInd w:val="0"/>
              <w:snapToGrid w:val="0"/>
              <w:ind w:left="-105" w:leftChars="-50" w:firstLine="0" w:firstLineChars="0"/>
              <w:rPr>
                <w:rFonts w:ascii="Times New Roman"/>
                <w:szCs w:val="18"/>
              </w:rPr>
            </w:pPr>
            <w:r>
              <w:rPr>
                <w:rFonts w:ascii="Times New Roman"/>
                <w:szCs w:val="18"/>
              </w:rPr>
              <w:t>第</w:t>
            </w:r>
            <m:oMath>
              <m:r>
                <m:rPr/>
                <w:rPr>
                  <w:rFonts w:ascii="Cambria Math" w:hAnsi="Cambria Math"/>
                  <w:szCs w:val="18"/>
                </w:rPr>
                <m:t>i</m:t>
              </m:r>
            </m:oMath>
            <w:r>
              <w:rPr>
                <w:rFonts w:ascii="Times New Roman"/>
                <w:szCs w:val="18"/>
              </w:rPr>
              <w:t>种化石燃料的二氧化碳排放因子，</w:t>
            </w:r>
            <w:r>
              <w:rPr>
                <w:rFonts w:hint="eastAsia" w:ascii="Times New Roman"/>
                <w:szCs w:val="18"/>
              </w:rPr>
              <w:t>以</w:t>
            </w:r>
            <w:r>
              <w:rPr>
                <w:rFonts w:ascii="Times New Roman"/>
                <w:szCs w:val="18"/>
              </w:rPr>
              <w:t>吨二氧化碳每吉焦（tCO</w:t>
            </w:r>
            <w:r>
              <w:rPr>
                <w:rFonts w:ascii="Times New Roman"/>
                <w:szCs w:val="18"/>
                <w:vertAlign w:val="subscript"/>
              </w:rPr>
              <w:t>2</w:t>
            </w:r>
            <w:r>
              <w:rPr>
                <w:rFonts w:ascii="Times New Roman"/>
                <w:szCs w:val="18"/>
              </w:rPr>
              <w:t>/GJ）</w:t>
            </w:r>
            <w:r>
              <w:rPr>
                <w:rFonts w:hint="eastAsia" w:ascii="Times New Roman"/>
                <w:szCs w:val="18"/>
              </w:rPr>
              <w:t>计</w:t>
            </w:r>
            <w:r>
              <w:rPr>
                <w:rFonts w:ascii="Times New Roman"/>
                <w:szCs w:val="18"/>
              </w:rPr>
              <w:t>，按</w:t>
            </w:r>
            <w:r>
              <w:rPr>
                <w:rFonts w:hint="eastAsia" w:ascii="Times New Roman"/>
                <w:szCs w:val="18"/>
                <w:lang w:eastAsia="zh-CN"/>
              </w:rPr>
              <w:t>公式（</w:t>
            </w:r>
            <w:r>
              <w:rPr>
                <w:rFonts w:hint="eastAsia" w:ascii="Times New Roman"/>
                <w:szCs w:val="18"/>
                <w:lang w:val="en-US" w:eastAsia="zh-CN"/>
              </w:rPr>
              <w:t>3</w:t>
            </w:r>
            <w:r>
              <w:rPr>
                <w:rFonts w:ascii="Times New Roman"/>
                <w:szCs w:val="18"/>
              </w:rPr>
              <w:t>）计算；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567" w:type="dxa"/>
          </w:tcPr>
          <w:p>
            <w:pPr>
              <w:pStyle w:val="159"/>
              <w:adjustRightInd w:val="0"/>
              <w:snapToGrid w:val="0"/>
              <w:ind w:firstLine="0" w:firstLineChars="0"/>
              <w:rPr>
                <w:rFonts w:ascii="Times New Roman"/>
                <w:iCs/>
                <w:szCs w:val="18"/>
              </w:rPr>
            </w:pPr>
            <m:oMathPara>
              <m:oMathParaPr>
                <m:jc m:val="left"/>
              </m:oMathParaPr>
              <m:oMath>
                <m:r>
                  <m:rPr/>
                  <w:rPr>
                    <w:rFonts w:ascii="Cambria Math" w:hAnsi="Cambria Math"/>
                    <w:szCs w:val="18"/>
                  </w:rPr>
                  <m:t>i</m:t>
                </m:r>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220" w:type="dxa"/>
          </w:tcPr>
          <w:p>
            <w:pPr>
              <w:pStyle w:val="159"/>
              <w:adjustRightInd w:val="0"/>
              <w:snapToGrid w:val="0"/>
              <w:ind w:left="-105" w:leftChars="-50" w:firstLine="0" w:firstLineChars="0"/>
              <w:rPr>
                <w:rFonts w:ascii="Times New Roman"/>
                <w:szCs w:val="18"/>
              </w:rPr>
            </w:pPr>
            <w:r>
              <w:rPr>
                <w:rFonts w:ascii="Times New Roman"/>
                <w:szCs w:val="18"/>
              </w:rPr>
              <w:t>化石燃料类型代号。</w:t>
            </w:r>
          </w:p>
        </w:tc>
      </w:tr>
    </w:tbl>
    <w:p>
      <w:pPr>
        <w:pStyle w:val="166"/>
        <w:rPr>
          <w:rFonts w:ascii="Times New Roman" w:hAnsi="Times New Roman"/>
        </w:rPr>
      </w:pPr>
      <w:r>
        <w:rPr>
          <w:rFonts w:ascii="Times New Roman" w:hAnsi="Times New Roman"/>
        </w:rPr>
        <w:tab/>
      </w:r>
      <m:oMath>
        <m:r>
          <m:rPr/>
          <w:rPr>
            <w:rFonts w:ascii="Cambria Math" w:hAnsi="Cambria Math"/>
          </w:rPr>
          <m:t>A</m:t>
        </m:r>
        <m:sSub>
          <m:sSubPr>
            <m:ctrlPr>
              <w:rPr>
                <w:rFonts w:ascii="Cambria Math" w:hAnsi="Cambria Math"/>
                <w:i/>
                <w:iCs/>
              </w:rPr>
            </m:ctrlPr>
          </m:sSubPr>
          <m:e>
            <m:r>
              <m:rPr/>
              <w:rPr>
                <w:rFonts w:ascii="Cambria Math" w:hAnsi="Cambria Math"/>
              </w:rPr>
              <m:t>D</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=F</m:t>
        </m:r>
        <m:sSub>
          <m:sSubPr>
            <m:ctrlPr>
              <w:rPr>
                <w:rFonts w:ascii="Cambria Math" w:hAnsi="Cambria Math"/>
                <w:i/>
                <w:iCs/>
              </w:rPr>
            </m:ctrlPr>
          </m:sSubPr>
          <m:e>
            <m:r>
              <m:rPr/>
              <w:rPr>
                <w:rFonts w:ascii="Cambria Math" w:hAnsi="Cambria Math"/>
              </w:rPr>
              <m:t>C</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×NC</m:t>
        </m:r>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i</m:t>
            </m:r>
            <m:ctrlPr>
              <w:rPr>
                <w:rFonts w:ascii="Cambria Math" w:hAnsi="Cambria Math"/>
                <w:i/>
                <w:iCs/>
              </w:rPr>
            </m:ctrlPr>
          </m:sub>
        </m:sSub>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2</w:t>
      </w:r>
      <w:r>
        <w:rPr>
          <w:rFonts w:hint="eastAsia" w:ascii="Times New Roman" w:hAnsi="Times New Roman"/>
        </w:rPr>
        <w:t>）</w:t>
      </w:r>
    </w:p>
    <w:p>
      <w:pPr>
        <w:pStyle w:val="167"/>
        <w:ind w:firstLine="420"/>
        <w:rPr>
          <w:rFonts w:ascii="Times New Roman" w:hAnsi="Times New Roman"/>
        </w:rPr>
      </w:pPr>
      <w:r>
        <w:rPr>
          <w:rFonts w:ascii="Times New Roman" w:hAnsi="Times New Roman"/>
        </w:rPr>
        <w:t>式中：</w:t>
      </w:r>
    </w:p>
    <w:tbl>
      <w:tblPr>
        <w:tblStyle w:val="39"/>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0"/>
        <w:gridCol w:w="340"/>
        <w:gridCol w:w="81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80" w:type="dxa"/>
          </w:tcPr>
          <w:p>
            <w:pPr>
              <w:pStyle w:val="159"/>
              <w:adjustRightInd w:val="0"/>
              <w:snapToGrid w:val="0"/>
              <w:ind w:firstLine="0" w:firstLineChars="0"/>
              <w:rPr>
                <w:rFonts w:ascii="Times New Roman"/>
                <w:iCs/>
                <w:szCs w:val="18"/>
              </w:rPr>
            </w:pPr>
            <m:oMathPara>
              <m:oMathParaPr>
                <m:jc m:val="left"/>
              </m:oMathParaPr>
              <m:oMath>
                <m:r>
                  <m:rPr/>
                  <w:rPr>
                    <w:rFonts w:ascii="Cambria Math" w:hAnsi="Cambria Math"/>
                    <w:szCs w:val="18"/>
                  </w:rPr>
                  <m:t>F</m:t>
                </m:r>
                <m:sSub>
                  <m:sSubPr>
                    <m:ctrlPr>
                      <w:rPr>
                        <w:rFonts w:ascii="Cambria Math" w:hAnsi="Cambria Math"/>
                        <w:i/>
                        <w:iCs/>
                        <w:szCs w:val="18"/>
                      </w:rPr>
                    </m:ctrlPr>
                  </m:sSubPr>
                  <m:e>
                    <m:r>
                      <m:rPr/>
                      <w:rPr>
                        <w:rFonts w:ascii="Cambria Math" w:hAnsi="Cambria Math"/>
                        <w:szCs w:val="18"/>
                      </w:rPr>
                      <m:t>C</m:t>
                    </m:r>
                    <m:ctrlPr>
                      <w:rPr>
                        <w:rFonts w:ascii="Cambria Math" w:hAnsi="Cambria Math"/>
                        <w:i/>
                        <w:iCs/>
                        <w:szCs w:val="18"/>
                      </w:rPr>
                    </m:ctrlPr>
                  </m:e>
                  <m:sub>
                    <m:r>
                      <m:rPr/>
                      <w:rPr>
                        <w:rFonts w:ascii="Cambria Math" w:hAnsi="Cambria Math"/>
                        <w:szCs w:val="18"/>
                      </w:rPr>
                      <m:t>i</m:t>
                    </m:r>
                    <m:ctrlPr>
                      <w:rPr>
                        <w:rFonts w:ascii="Cambria Math" w:hAnsi="Cambria Math"/>
                        <w:i/>
                        <w:iCs/>
                        <w:szCs w:val="18"/>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107" w:type="dxa"/>
          </w:tcPr>
          <w:p>
            <w:pPr>
              <w:pStyle w:val="159"/>
              <w:adjustRightInd w:val="0"/>
              <w:snapToGrid w:val="0"/>
              <w:ind w:left="-105" w:leftChars="-50" w:firstLine="0" w:firstLineChars="0"/>
              <w:rPr>
                <w:rFonts w:ascii="Times New Roman"/>
                <w:szCs w:val="18"/>
              </w:rPr>
            </w:pPr>
            <w:r>
              <w:rPr>
                <w:rFonts w:ascii="Times New Roman"/>
                <w:szCs w:val="18"/>
              </w:rPr>
              <w:t>核算和报告期内第</w:t>
            </w:r>
            <m:oMath>
              <m:r>
                <m:rPr/>
                <w:rPr>
                  <w:rFonts w:ascii="Cambria Math" w:hAnsi="Cambria Math"/>
                  <w:szCs w:val="18"/>
                </w:rPr>
                <m:t>i</m:t>
              </m:r>
            </m:oMath>
            <w:r>
              <w:rPr>
                <w:rFonts w:ascii="Times New Roman"/>
                <w:szCs w:val="18"/>
              </w:rPr>
              <w:t>种化石燃料的净消耗量。对固</w:t>
            </w:r>
            <w:r>
              <w:rPr>
                <w:rFonts w:hint="eastAsia" w:ascii="Times New Roman"/>
                <w:szCs w:val="18"/>
              </w:rPr>
              <w:t>态</w:t>
            </w:r>
            <w:r>
              <w:rPr>
                <w:rFonts w:ascii="Times New Roman"/>
                <w:szCs w:val="18"/>
              </w:rPr>
              <w:t>或液</w:t>
            </w:r>
            <w:r>
              <w:rPr>
                <w:rFonts w:hint="eastAsia" w:ascii="Times New Roman"/>
                <w:szCs w:val="18"/>
              </w:rPr>
              <w:t>态</w:t>
            </w:r>
            <w:r>
              <w:rPr>
                <w:rFonts w:ascii="Times New Roman"/>
                <w:szCs w:val="18"/>
              </w:rPr>
              <w:t>燃料，</w:t>
            </w:r>
            <w:r>
              <w:rPr>
                <w:rFonts w:hint="eastAsia" w:ascii="Times New Roman"/>
                <w:szCs w:val="18"/>
              </w:rPr>
              <w:t>以</w:t>
            </w:r>
            <w:r>
              <w:rPr>
                <w:rFonts w:ascii="Times New Roman"/>
                <w:szCs w:val="18"/>
              </w:rPr>
              <w:t>吨（t）</w:t>
            </w:r>
            <w:r>
              <w:rPr>
                <w:rFonts w:hint="eastAsia" w:ascii="Times New Roman"/>
                <w:szCs w:val="18"/>
              </w:rPr>
              <w:t>计</w:t>
            </w:r>
            <w:r>
              <w:rPr>
                <w:rFonts w:ascii="Times New Roman"/>
                <w:szCs w:val="18"/>
              </w:rPr>
              <w:t>；对气</w:t>
            </w:r>
            <w:r>
              <w:rPr>
                <w:rFonts w:hint="eastAsia" w:ascii="Times New Roman"/>
                <w:szCs w:val="18"/>
              </w:rPr>
              <w:t>态</w:t>
            </w:r>
            <w:r>
              <w:rPr>
                <w:rFonts w:ascii="Times New Roman"/>
                <w:szCs w:val="18"/>
              </w:rPr>
              <w:t>燃料，</w:t>
            </w:r>
            <w:r>
              <w:rPr>
                <w:rFonts w:hint="eastAsia" w:ascii="Times New Roman"/>
                <w:szCs w:val="18"/>
              </w:rPr>
              <w:t>以</w:t>
            </w:r>
            <w:r>
              <w:rPr>
                <w:rFonts w:ascii="Times New Roman"/>
                <w:szCs w:val="18"/>
              </w:rPr>
              <w:t>万标立方米（10</w:t>
            </w:r>
            <w:r>
              <w:rPr>
                <w:rFonts w:ascii="Times New Roman"/>
                <w:szCs w:val="18"/>
                <w:vertAlign w:val="superscript"/>
              </w:rPr>
              <w:t>4</w:t>
            </w:r>
            <w:r>
              <w:rPr>
                <w:rFonts w:ascii="Times New Roman"/>
                <w:szCs w:val="18"/>
              </w:rPr>
              <w:t>Nm</w:t>
            </w:r>
            <w:r>
              <w:rPr>
                <w:rFonts w:ascii="Times New Roman"/>
                <w:szCs w:val="18"/>
                <w:vertAlign w:val="superscript"/>
              </w:rPr>
              <w:t>3</w:t>
            </w:r>
            <w:r>
              <w:rPr>
                <w:rFonts w:ascii="Times New Roman"/>
                <w:szCs w:val="18"/>
              </w:rPr>
              <w:t>）</w:t>
            </w:r>
            <w:r>
              <w:rPr>
                <w:rFonts w:hint="eastAsia" w:ascii="Times New Roman"/>
                <w:szCs w:val="18"/>
              </w:rPr>
              <w:t>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80" w:type="dxa"/>
          </w:tcPr>
          <w:p>
            <w:pPr>
              <w:pStyle w:val="159"/>
              <w:adjustRightInd w:val="0"/>
              <w:snapToGrid w:val="0"/>
              <w:ind w:firstLine="0" w:firstLineChars="0"/>
              <w:rPr>
                <w:rFonts w:ascii="Times New Roman"/>
                <w:szCs w:val="18"/>
              </w:rPr>
            </w:pPr>
            <m:oMathPara>
              <m:oMathParaPr>
                <m:jc m:val="left"/>
              </m:oMathParaPr>
              <m:oMath>
                <m:r>
                  <m:rPr/>
                  <w:rPr>
                    <w:rFonts w:ascii="Cambria Math" w:hAnsi="Cambria Math"/>
                    <w:szCs w:val="18"/>
                  </w:rPr>
                  <m:t>NC</m:t>
                </m:r>
                <m:sSub>
                  <m:sSubPr>
                    <m:ctrlPr>
                      <w:rPr>
                        <w:rFonts w:ascii="Cambria Math" w:hAnsi="Cambria Math"/>
                        <w:i/>
                        <w:iCs/>
                        <w:szCs w:val="18"/>
                      </w:rPr>
                    </m:ctrlPr>
                  </m:sSubPr>
                  <m:e>
                    <m:r>
                      <m:rPr/>
                      <w:rPr>
                        <w:rFonts w:ascii="Cambria Math" w:hAnsi="Cambria Math"/>
                        <w:szCs w:val="18"/>
                      </w:rPr>
                      <m:t>V</m:t>
                    </m:r>
                    <m:ctrlPr>
                      <w:rPr>
                        <w:rFonts w:ascii="Cambria Math" w:hAnsi="Cambria Math"/>
                        <w:i/>
                        <w:iCs/>
                        <w:szCs w:val="18"/>
                      </w:rPr>
                    </m:ctrlPr>
                  </m:e>
                  <m:sub>
                    <m:r>
                      <m:rPr/>
                      <w:rPr>
                        <w:rFonts w:ascii="Cambria Math" w:hAnsi="Cambria Math"/>
                        <w:szCs w:val="18"/>
                      </w:rPr>
                      <m:t>i</m:t>
                    </m:r>
                    <m:ctrlPr>
                      <w:rPr>
                        <w:rFonts w:ascii="Cambria Math" w:hAnsi="Cambria Math"/>
                        <w:i/>
                        <w:iCs/>
                        <w:szCs w:val="18"/>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107" w:type="dxa"/>
          </w:tcPr>
          <w:p>
            <w:pPr>
              <w:pStyle w:val="159"/>
              <w:adjustRightInd w:val="0"/>
              <w:snapToGrid w:val="0"/>
              <w:ind w:left="-105" w:leftChars="-50" w:firstLine="0" w:firstLineChars="0"/>
              <w:rPr>
                <w:rFonts w:ascii="Times New Roman"/>
                <w:szCs w:val="18"/>
              </w:rPr>
            </w:pPr>
            <w:r>
              <w:rPr>
                <w:rFonts w:ascii="Times New Roman"/>
                <w:szCs w:val="18"/>
              </w:rPr>
              <w:t>核算和报告期内第</w:t>
            </w:r>
            <m:oMath>
              <m:r>
                <m:rPr/>
                <w:rPr>
                  <w:rFonts w:ascii="Cambria Math" w:hAnsi="Cambria Math"/>
                  <w:szCs w:val="18"/>
                </w:rPr>
                <m:t>i</m:t>
              </m:r>
            </m:oMath>
            <w:r>
              <w:rPr>
                <w:rFonts w:ascii="Times New Roman"/>
                <w:szCs w:val="18"/>
              </w:rPr>
              <w:t>种化石燃料的平均低位发热量。对固</w:t>
            </w:r>
            <w:r>
              <w:rPr>
                <w:rFonts w:hint="eastAsia" w:ascii="Times New Roman"/>
                <w:szCs w:val="18"/>
              </w:rPr>
              <w:t>态</w:t>
            </w:r>
            <w:r>
              <w:rPr>
                <w:rFonts w:ascii="Times New Roman"/>
                <w:szCs w:val="18"/>
              </w:rPr>
              <w:t>或液</w:t>
            </w:r>
            <w:r>
              <w:rPr>
                <w:rFonts w:hint="eastAsia" w:ascii="Times New Roman"/>
                <w:szCs w:val="18"/>
              </w:rPr>
              <w:t>态</w:t>
            </w:r>
            <w:r>
              <w:rPr>
                <w:rFonts w:ascii="Times New Roman"/>
                <w:szCs w:val="18"/>
              </w:rPr>
              <w:t>燃料，</w:t>
            </w:r>
            <w:r>
              <w:rPr>
                <w:rFonts w:hint="eastAsia" w:ascii="Times New Roman"/>
                <w:szCs w:val="18"/>
              </w:rPr>
              <w:t>以</w:t>
            </w:r>
            <w:r>
              <w:rPr>
                <w:rFonts w:ascii="Times New Roman"/>
                <w:szCs w:val="18"/>
              </w:rPr>
              <w:t>吉焦每吨（GJ/t）</w:t>
            </w:r>
            <w:r>
              <w:rPr>
                <w:rFonts w:hint="eastAsia" w:ascii="Times New Roman"/>
                <w:szCs w:val="18"/>
              </w:rPr>
              <w:t>计</w:t>
            </w:r>
            <w:r>
              <w:rPr>
                <w:rFonts w:ascii="Times New Roman"/>
                <w:szCs w:val="18"/>
              </w:rPr>
              <w:t>；对气</w:t>
            </w:r>
            <w:r>
              <w:rPr>
                <w:rFonts w:hint="eastAsia" w:ascii="Times New Roman"/>
                <w:szCs w:val="18"/>
              </w:rPr>
              <w:t>态</w:t>
            </w:r>
            <w:r>
              <w:rPr>
                <w:rFonts w:ascii="Times New Roman"/>
                <w:szCs w:val="18"/>
              </w:rPr>
              <w:t>燃料，</w:t>
            </w:r>
            <w:r>
              <w:rPr>
                <w:rFonts w:hint="eastAsia" w:ascii="Times New Roman"/>
                <w:szCs w:val="18"/>
              </w:rPr>
              <w:t>以</w:t>
            </w:r>
            <w:r>
              <w:rPr>
                <w:rFonts w:ascii="Times New Roman"/>
                <w:szCs w:val="18"/>
              </w:rPr>
              <w:t>吉焦每万标立方米（GJ/10</w:t>
            </w:r>
            <w:r>
              <w:rPr>
                <w:rFonts w:ascii="Times New Roman"/>
                <w:szCs w:val="18"/>
                <w:vertAlign w:val="superscript"/>
              </w:rPr>
              <w:t>4</w:t>
            </w:r>
            <w:r>
              <w:rPr>
                <w:rFonts w:ascii="Times New Roman"/>
                <w:szCs w:val="18"/>
              </w:rPr>
              <w:t>Nm</w:t>
            </w:r>
            <w:r>
              <w:rPr>
                <w:rFonts w:ascii="Times New Roman"/>
                <w:szCs w:val="18"/>
                <w:vertAlign w:val="superscript"/>
              </w:rPr>
              <w:t>3</w:t>
            </w:r>
            <w:r>
              <w:rPr>
                <w:rFonts w:ascii="Times New Roman"/>
                <w:szCs w:val="18"/>
              </w:rPr>
              <w:t>）</w:t>
            </w:r>
            <w:r>
              <w:rPr>
                <w:rFonts w:hint="eastAsia" w:ascii="Times New Roman"/>
                <w:szCs w:val="18"/>
              </w:rPr>
              <w:t>计。</w:t>
            </w:r>
          </w:p>
        </w:tc>
      </w:tr>
    </w:tbl>
    <w:p>
      <w:pPr>
        <w:pStyle w:val="166"/>
        <w:rPr>
          <w:rFonts w:ascii="Times New Roman" w:hAnsi="Times New Roman"/>
        </w:rPr>
      </w:pPr>
      <w:r>
        <w:rPr>
          <w:rFonts w:ascii="Times New Roman" w:hAnsi="Times New Roman"/>
        </w:rPr>
        <w:tab/>
      </w:r>
      <m:oMath>
        <m:r>
          <m:rPr/>
          <w:rPr>
            <w:rFonts w:ascii="Cambria Math" w:hAnsi="Cambria Math"/>
          </w:rPr>
          <m:t>E</m:t>
        </m:r>
        <m:sSub>
          <m:sSubPr>
            <m:ctrlPr>
              <w:rPr>
                <w:rFonts w:ascii="Cambria Math" w:hAnsi="Cambria Math"/>
                <w:i/>
                <w:iCs/>
              </w:rPr>
            </m:ctrlPr>
          </m:sSubPr>
          <m:e>
            <m:r>
              <m:rPr/>
              <w:rPr>
                <w:rFonts w:ascii="Cambria Math" w:hAnsi="Cambria Math"/>
              </w:rPr>
              <m:t>F</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=C</m:t>
        </m:r>
        <m:sSub>
          <m:sSubPr>
            <m:ctrlPr>
              <w:rPr>
                <w:rFonts w:ascii="Cambria Math" w:hAnsi="Cambria Math"/>
                <w:i/>
                <w:iCs/>
              </w:rPr>
            </m:ctrlPr>
          </m:sSubPr>
          <m:e>
            <m:r>
              <m:rPr/>
              <w:rPr>
                <w:rFonts w:ascii="Cambria Math" w:hAnsi="Cambria Math"/>
              </w:rPr>
              <m:t>C</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×O</m:t>
        </m:r>
        <m:sSub>
          <m:sSubPr>
            <m:ctrlPr>
              <w:rPr>
                <w:rFonts w:ascii="Cambria Math" w:hAnsi="Cambria Math"/>
                <w:i/>
                <w:iCs/>
              </w:rPr>
            </m:ctrlPr>
          </m:sSubPr>
          <m:e>
            <m:r>
              <m:rPr/>
              <w:rPr>
                <w:rFonts w:ascii="Cambria Math" w:hAnsi="Cambria Math"/>
              </w:rPr>
              <m:t>F</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m:t>
        </m:r>
        <m:f>
          <m:fPr>
            <m:ctrlPr>
              <w:rPr>
                <w:rFonts w:ascii="Cambria Math" w:hAnsi="Cambria Math"/>
                <w:i/>
                <w:iCs/>
              </w:rPr>
            </m:ctrlPr>
          </m:fPr>
          <m:num>
            <m:r>
              <m:rPr/>
              <w:rPr>
                <w:rFonts w:ascii="Cambria Math" w:hAnsi="Cambria Math"/>
              </w:rPr>
              <m:t>44</m:t>
            </m:r>
            <m:ctrlPr>
              <w:rPr>
                <w:rFonts w:ascii="Cambria Math" w:hAnsi="Cambria Math"/>
                <w:i/>
                <w:iCs/>
              </w:rPr>
            </m:ctrlPr>
          </m:num>
          <m:den>
            <m:r>
              <m:rPr/>
              <w:rPr>
                <w:rFonts w:ascii="Cambria Math" w:hAnsi="Cambria Math"/>
              </w:rPr>
              <m:t>12</m:t>
            </m:r>
            <m:ctrlPr>
              <w:rPr>
                <w:rFonts w:ascii="Cambria Math" w:hAnsi="Cambria Math"/>
                <w:i/>
                <w:iCs/>
              </w:rPr>
            </m:ctrlPr>
          </m:den>
        </m:f>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3</w:t>
      </w:r>
      <w:r>
        <w:rPr>
          <w:rFonts w:hint="eastAsia" w:ascii="Times New Roman" w:hAnsi="Times New Roman"/>
        </w:rPr>
        <w:t>）</w:t>
      </w:r>
    </w:p>
    <w:p>
      <w:pPr>
        <w:pStyle w:val="167"/>
        <w:ind w:firstLine="420"/>
        <w:rPr>
          <w:rFonts w:ascii="Times New Roman" w:hAnsi="Times New Roman"/>
        </w:rPr>
      </w:pPr>
      <w:r>
        <w:rPr>
          <w:rFonts w:ascii="Times New Roman" w:hAnsi="Times New Roman"/>
        </w:rPr>
        <w:t>式中：</w:t>
      </w:r>
    </w:p>
    <w:tbl>
      <w:tblPr>
        <w:tblStyle w:val="39"/>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4"/>
        <w:gridCol w:w="340"/>
        <w:gridCol w:w="83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54" w:type="dxa"/>
          </w:tcPr>
          <w:p>
            <w:pPr>
              <w:pStyle w:val="159"/>
              <w:adjustRightInd w:val="0"/>
              <w:snapToGrid w:val="0"/>
              <w:ind w:firstLine="0" w:firstLineChars="0"/>
              <w:rPr>
                <w:rFonts w:ascii="Times New Roman"/>
                <w:iCs/>
                <w:szCs w:val="18"/>
              </w:rPr>
            </w:pPr>
            <m:oMathPara>
              <m:oMathParaPr>
                <m:jc m:val="left"/>
              </m:oMathParaPr>
              <m:oMath>
                <m:r>
                  <m:rPr/>
                  <w:rPr>
                    <w:rFonts w:ascii="Cambria Math" w:hAnsi="Cambria Math"/>
                    <w:szCs w:val="21"/>
                  </w:rPr>
                  <m:t>C</m:t>
                </m:r>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ascii="Cambria Math" w:hAnsi="Cambria Math"/>
                        <w:szCs w:val="21"/>
                      </w:rPr>
                      <m:t>i</m:t>
                    </m:r>
                    <m:ctrlPr>
                      <w:rPr>
                        <w:rFonts w:ascii="Cambria Math" w:hAnsi="Cambria Math"/>
                        <w:i/>
                        <w:iCs/>
                        <w:szCs w:val="21"/>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334" w:type="dxa"/>
          </w:tcPr>
          <w:p>
            <w:pPr>
              <w:pStyle w:val="159"/>
              <w:adjustRightInd w:val="0"/>
              <w:snapToGrid w:val="0"/>
              <w:ind w:left="-105" w:leftChars="-50" w:firstLine="0" w:firstLineChars="0"/>
              <w:rPr>
                <w:rFonts w:ascii="Times New Roman"/>
                <w:szCs w:val="18"/>
              </w:rPr>
            </w:pPr>
            <w:r>
              <w:rPr>
                <w:rFonts w:ascii="Times New Roman"/>
                <w:szCs w:val="18"/>
              </w:rPr>
              <w:t>第</w:t>
            </w:r>
            <m:oMath>
              <m:r>
                <m:rPr/>
                <w:rPr>
                  <w:rFonts w:ascii="Cambria Math" w:hAnsi="Cambria Math"/>
                  <w:szCs w:val="18"/>
                </w:rPr>
                <m:t>i</m:t>
              </m:r>
            </m:oMath>
            <w:r>
              <w:rPr>
                <w:rFonts w:ascii="Times New Roman"/>
                <w:szCs w:val="18"/>
              </w:rPr>
              <w:t>种化石燃料的单位热值含碳量，</w:t>
            </w:r>
            <w:r>
              <w:rPr>
                <w:rFonts w:hint="eastAsia" w:ascii="Times New Roman"/>
                <w:szCs w:val="18"/>
              </w:rPr>
              <w:t>以</w:t>
            </w:r>
            <w:r>
              <w:rPr>
                <w:rFonts w:ascii="Times New Roman"/>
                <w:szCs w:val="18"/>
              </w:rPr>
              <w:t>吨碳每吉焦（tC/GJ）</w:t>
            </w:r>
            <w:r>
              <w:rPr>
                <w:rFonts w:hint="eastAsia" w:ascii="Times New Roman"/>
                <w:szCs w:val="18"/>
              </w:rPr>
              <w:t>计</w:t>
            </w:r>
            <w:r>
              <w:rPr>
                <w:rFonts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54" w:type="dxa"/>
          </w:tcPr>
          <w:p>
            <w:pPr>
              <w:pStyle w:val="159"/>
              <w:adjustRightInd w:val="0"/>
              <w:snapToGrid w:val="0"/>
              <w:ind w:firstLine="0" w:firstLineChars="0"/>
              <w:rPr>
                <w:rFonts w:ascii="Times New Roman"/>
                <w:szCs w:val="18"/>
              </w:rPr>
            </w:pPr>
            <m:oMathPara>
              <m:oMathParaPr>
                <m:jc m:val="left"/>
              </m:oMathParaPr>
              <m:oMath>
                <m:r>
                  <m:rPr/>
                  <w:rPr>
                    <w:rFonts w:ascii="Cambria Math" w:hAnsi="Cambria Math"/>
                    <w:szCs w:val="21"/>
                  </w:rPr>
                  <m:t>O</m:t>
                </m:r>
                <m:sSub>
                  <m:sSubPr>
                    <m:ctrlPr>
                      <w:rPr>
                        <w:rFonts w:ascii="Cambria Math" w:hAnsi="Cambria Math"/>
                        <w:i/>
                        <w:iCs/>
                        <w:szCs w:val="21"/>
                      </w:rPr>
                    </m:ctrlPr>
                  </m:sSubPr>
                  <m:e>
                    <m:r>
                      <m:rPr/>
                      <w:rPr>
                        <w:rFonts w:ascii="Cambria Math" w:hAnsi="Cambria Math"/>
                        <w:szCs w:val="21"/>
                      </w:rPr>
                      <m:t>F</m:t>
                    </m:r>
                    <m:ctrlPr>
                      <w:rPr>
                        <w:rFonts w:ascii="Cambria Math" w:hAnsi="Cambria Math"/>
                        <w:i/>
                        <w:iCs/>
                        <w:szCs w:val="21"/>
                      </w:rPr>
                    </m:ctrlPr>
                  </m:e>
                  <m:sub>
                    <m:r>
                      <m:rPr/>
                      <w:rPr>
                        <w:rFonts w:ascii="Cambria Math" w:hAnsi="Cambria Math"/>
                        <w:szCs w:val="21"/>
                      </w:rPr>
                      <m:t>i</m:t>
                    </m:r>
                    <m:ctrlPr>
                      <w:rPr>
                        <w:rFonts w:ascii="Cambria Math" w:hAnsi="Cambria Math"/>
                        <w:i/>
                        <w:iCs/>
                        <w:szCs w:val="21"/>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334" w:type="dxa"/>
          </w:tcPr>
          <w:p>
            <w:pPr>
              <w:pStyle w:val="159"/>
              <w:adjustRightInd w:val="0"/>
              <w:snapToGrid w:val="0"/>
              <w:ind w:left="-105" w:leftChars="-50" w:firstLine="0" w:firstLineChars="0"/>
              <w:rPr>
                <w:rFonts w:ascii="Times New Roman"/>
                <w:szCs w:val="18"/>
              </w:rPr>
            </w:pPr>
            <w:r>
              <w:rPr>
                <w:rFonts w:ascii="Times New Roman"/>
                <w:szCs w:val="18"/>
              </w:rPr>
              <w:t>第</w:t>
            </w:r>
            <m:oMath>
              <m:r>
                <m:rPr/>
                <w:rPr>
                  <w:rFonts w:ascii="Cambria Math" w:hAnsi="Cambria Math"/>
                  <w:szCs w:val="18"/>
                </w:rPr>
                <m:t>i</m:t>
              </m:r>
            </m:oMath>
            <w:r>
              <w:rPr>
                <w:rFonts w:ascii="Times New Roman"/>
                <w:szCs w:val="18"/>
              </w:rPr>
              <w:t>种化石燃料的碳氧化率，%；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54" w:type="dxa"/>
          </w:tcPr>
          <w:p>
            <w:pPr>
              <w:pStyle w:val="159"/>
              <w:adjustRightInd w:val="0"/>
              <w:snapToGrid w:val="0"/>
              <w:ind w:firstLine="0" w:firstLineChars="0"/>
              <w:rPr>
                <w:rFonts w:ascii="Calibri" w:hAnsi="Calibri"/>
                <w:iCs/>
                <w:szCs w:val="21"/>
              </w:rPr>
            </w:pPr>
            <m:oMathPara>
              <m:oMathParaPr>
                <m:jc m:val="left"/>
              </m:oMathParaPr>
              <m:oMath>
                <m:f>
                  <m:fPr>
                    <m:ctrlPr>
                      <w:rPr>
                        <w:rFonts w:ascii="Cambria Math" w:hAnsi="Cambria Math"/>
                        <w:i/>
                        <w:iCs/>
                        <w:szCs w:val="21"/>
                      </w:rPr>
                    </m:ctrlPr>
                  </m:fPr>
                  <m:num>
                    <m:r>
                      <m:rPr/>
                      <w:rPr>
                        <w:rFonts w:ascii="Cambria Math" w:hAnsi="Cambria Math"/>
                        <w:szCs w:val="21"/>
                      </w:rPr>
                      <m:t>44</m:t>
                    </m:r>
                    <m:ctrlPr>
                      <w:rPr>
                        <w:rFonts w:ascii="Cambria Math" w:hAnsi="Cambria Math"/>
                        <w:i/>
                        <w:iCs/>
                        <w:szCs w:val="21"/>
                      </w:rPr>
                    </m:ctrlPr>
                  </m:num>
                  <m:den>
                    <m:r>
                      <m:rPr/>
                      <w:rPr>
                        <w:rFonts w:ascii="Cambria Math" w:hAnsi="Cambria Math"/>
                        <w:szCs w:val="21"/>
                      </w:rPr>
                      <m:t>12</m:t>
                    </m:r>
                    <m:ctrlPr>
                      <w:rPr>
                        <w:rFonts w:ascii="Cambria Math" w:hAnsi="Cambria Math"/>
                        <w:i/>
                        <w:iCs/>
                        <w:szCs w:val="21"/>
                      </w:rPr>
                    </m:ctrlPr>
                  </m:den>
                </m:f>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334" w:type="dxa"/>
          </w:tcPr>
          <w:p>
            <w:pPr>
              <w:pStyle w:val="159"/>
              <w:adjustRightInd w:val="0"/>
              <w:snapToGrid w:val="0"/>
              <w:ind w:left="-105" w:leftChars="-50" w:firstLine="0" w:firstLineChars="0"/>
              <w:rPr>
                <w:rFonts w:ascii="Times New Roman"/>
                <w:szCs w:val="18"/>
              </w:rPr>
            </w:pPr>
            <w:r>
              <w:rPr>
                <w:rFonts w:hint="eastAsia" w:ascii="Times New Roman"/>
                <w:szCs w:val="18"/>
              </w:rPr>
              <w:t>二氧化碳与碳的相对分子质量之比。</w:t>
            </w:r>
          </w:p>
        </w:tc>
      </w:tr>
    </w:tbl>
    <w:p>
      <w:pPr>
        <w:pStyle w:val="60"/>
        <w:bidi w:val="0"/>
        <w:ind w:left="0" w:leftChars="0" w:firstLine="0" w:firstLineChars="0"/>
        <w:rPr>
          <w:rFonts w:hint="eastAsia"/>
        </w:rPr>
      </w:pPr>
      <w:r>
        <w:rPr>
          <w:rFonts w:hint="eastAsia"/>
        </w:rPr>
        <w:t>数据</w:t>
      </w:r>
      <w:r>
        <w:rPr>
          <w:rFonts w:hint="eastAsia"/>
          <w:lang w:val="en-US" w:eastAsia="zh-CN"/>
        </w:rPr>
        <w:t>的监测与</w:t>
      </w:r>
      <w:r>
        <w:rPr>
          <w:rFonts w:hint="eastAsia"/>
        </w:rPr>
        <w:t>获取</w:t>
      </w:r>
      <w:bookmarkStart w:id="77" w:name="pindex269"/>
      <w:bookmarkEnd w:id="77"/>
    </w:p>
    <w:p>
      <w:pPr>
        <w:pStyle w:val="65"/>
        <w:bidi w:val="0"/>
        <w:ind w:left="0" w:leftChars="0" w:firstLine="0" w:firstLineChars="0"/>
        <w:rPr>
          <w:rFonts w:hint="default" w:eastAsia="宋体"/>
          <w:lang w:val="en-US" w:eastAsia="zh-CN"/>
        </w:rPr>
      </w:pPr>
      <w:r>
        <w:rPr>
          <w:rFonts w:hint="eastAsia"/>
          <w:lang w:val="en-US" w:eastAsia="zh-CN"/>
        </w:rPr>
        <w:t>化石</w:t>
      </w:r>
      <w:r>
        <w:rPr>
          <w:rFonts w:hint="eastAsia" w:hAnsi="Times New Roman" w:cs="Times New Roman"/>
          <w:lang w:val="en-US" w:eastAsia="zh-CN"/>
        </w:rPr>
        <w:t>燃料</w:t>
      </w:r>
      <w:r>
        <w:rPr>
          <w:rFonts w:hint="eastAsia"/>
          <w:lang w:val="en-US" w:eastAsia="zh-CN"/>
        </w:rPr>
        <w:t>消耗量</w:t>
      </w:r>
    </w:p>
    <w:p>
      <w:pPr>
        <w:pStyle w:val="159"/>
        <w:ind w:firstLine="420"/>
        <w:rPr>
          <w:rFonts w:ascii="Times New Roman"/>
        </w:rPr>
      </w:pPr>
      <w:r>
        <w:rPr>
          <w:rFonts w:ascii="Times New Roman"/>
        </w:rPr>
        <w:t>企业应按GB 17167</w:t>
      </w:r>
      <w:r>
        <w:rPr>
          <w:rFonts w:hint="eastAsia" w:ascii="Times New Roman"/>
        </w:rPr>
        <w:t>和</w:t>
      </w:r>
      <w:r>
        <w:rPr>
          <w:rFonts w:ascii="Times New Roman"/>
        </w:rPr>
        <w:t>GB/T 24851的要求配备化石燃料消耗量计量器具，化石燃料消耗量的计量要求见表</w:t>
      </w:r>
      <w:r>
        <w:rPr>
          <w:rFonts w:hint="eastAsia" w:ascii="Times New Roman"/>
          <w:lang w:val="en-US" w:eastAsia="zh-CN"/>
        </w:rPr>
        <w:t>1</w:t>
      </w:r>
      <w:r>
        <w:rPr>
          <w:rFonts w:ascii="Times New Roman"/>
        </w:rPr>
        <w:t>。</w:t>
      </w:r>
    </w:p>
    <w:p>
      <w:pPr>
        <w:pStyle w:val="168"/>
        <w:spacing w:before="156" w:after="156"/>
        <w:rPr>
          <w:rFonts w:ascii="Times New Roman"/>
        </w:rPr>
      </w:pPr>
      <w:r>
        <w:rPr>
          <w:rFonts w:ascii="Times New Roman"/>
        </w:rPr>
        <w:t>化石燃料消耗量计量要求</w:t>
      </w:r>
    </w:p>
    <w:tbl>
      <w:tblPr>
        <w:tblStyle w:val="38"/>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3"/>
        <w:gridCol w:w="1675"/>
        <w:gridCol w:w="1783"/>
        <w:gridCol w:w="1045"/>
        <w:gridCol w:w="1197"/>
        <w:gridCol w:w="746"/>
        <w:gridCol w:w="748"/>
        <w:gridCol w:w="16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1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燃料类型</w:t>
            </w:r>
          </w:p>
        </w:tc>
        <w:tc>
          <w:tcPr>
            <w:tcW w:w="84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计量器具</w:t>
            </w:r>
          </w:p>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hint="eastAsia" w:ascii="Times New Roman" w:hAnsi="Times New Roman" w:cs="Times New Roman"/>
                <w:b/>
                <w:bCs/>
                <w:sz w:val="18"/>
                <w:szCs w:val="18"/>
              </w:rPr>
              <w:t>名称</w:t>
            </w:r>
          </w:p>
        </w:tc>
        <w:tc>
          <w:tcPr>
            <w:tcW w:w="904"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准确度等级</w:t>
            </w:r>
          </w:p>
        </w:tc>
        <w:tc>
          <w:tcPr>
            <w:tcW w:w="530"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计量设备溯源方式</w:t>
            </w:r>
          </w:p>
        </w:tc>
        <w:tc>
          <w:tcPr>
            <w:tcW w:w="607"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溯源频次</w:t>
            </w:r>
          </w:p>
        </w:tc>
        <w:tc>
          <w:tcPr>
            <w:tcW w:w="378"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计量频次</w:t>
            </w:r>
          </w:p>
        </w:tc>
        <w:tc>
          <w:tcPr>
            <w:tcW w:w="37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记录频次</w:t>
            </w:r>
          </w:p>
        </w:tc>
        <w:tc>
          <w:tcPr>
            <w:tcW w:w="830"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安装位置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19" w:type="pct"/>
            <w:vMerge w:val="restar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固态燃料</w:t>
            </w:r>
          </w:p>
        </w:tc>
        <w:tc>
          <w:tcPr>
            <w:tcW w:w="84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非自动衡器</w:t>
            </w:r>
          </w:p>
        </w:tc>
        <w:tc>
          <w:tcPr>
            <w:tcW w:w="904"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0.1</w:t>
            </w:r>
          </w:p>
        </w:tc>
        <w:tc>
          <w:tcPr>
            <w:tcW w:w="530"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检定</w:t>
            </w:r>
          </w:p>
        </w:tc>
        <w:tc>
          <w:tcPr>
            <w:tcW w:w="607"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1次/12个月</w:t>
            </w:r>
          </w:p>
        </w:tc>
        <w:tc>
          <w:tcPr>
            <w:tcW w:w="378"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每批</w:t>
            </w:r>
          </w:p>
        </w:tc>
        <w:tc>
          <w:tcPr>
            <w:tcW w:w="37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每批</w:t>
            </w:r>
          </w:p>
        </w:tc>
        <w:tc>
          <w:tcPr>
            <w:tcW w:w="830"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hint="eastAsia" w:ascii="Times New Roman" w:hAnsi="Times New Roman" w:cs="Times New Roman"/>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jc w:val="center"/>
        </w:trPr>
        <w:tc>
          <w:tcPr>
            <w:tcW w:w="519" w:type="pct"/>
            <w:vMerge w:val="continue"/>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p>
        </w:tc>
        <w:tc>
          <w:tcPr>
            <w:tcW w:w="84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连续累计自动衡器</w:t>
            </w:r>
          </w:p>
        </w:tc>
        <w:tc>
          <w:tcPr>
            <w:tcW w:w="904"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0.5</w:t>
            </w:r>
          </w:p>
        </w:tc>
        <w:tc>
          <w:tcPr>
            <w:tcW w:w="530"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检定</w:t>
            </w:r>
          </w:p>
        </w:tc>
        <w:tc>
          <w:tcPr>
            <w:tcW w:w="607"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1次/12个月</w:t>
            </w:r>
          </w:p>
        </w:tc>
        <w:tc>
          <w:tcPr>
            <w:tcW w:w="378"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连续</w:t>
            </w:r>
          </w:p>
        </w:tc>
        <w:tc>
          <w:tcPr>
            <w:tcW w:w="37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每月</w:t>
            </w:r>
          </w:p>
        </w:tc>
        <w:tc>
          <w:tcPr>
            <w:tcW w:w="830"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安装在进燃烧设备燃烧前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1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液态燃料</w:t>
            </w:r>
          </w:p>
        </w:tc>
        <w:tc>
          <w:tcPr>
            <w:tcW w:w="84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hint="eastAsia" w:ascii="Times New Roman" w:hAnsi="Times New Roman" w:cs="Times New Roman"/>
                <w:sz w:val="18"/>
                <w:szCs w:val="18"/>
              </w:rPr>
              <w:t>油</w:t>
            </w:r>
            <w:r>
              <w:rPr>
                <w:rFonts w:ascii="Times New Roman" w:hAnsi="Times New Roman" w:cs="Times New Roman"/>
                <w:sz w:val="18"/>
                <w:szCs w:val="18"/>
              </w:rPr>
              <w:t>流量</w:t>
            </w:r>
            <w:r>
              <w:rPr>
                <w:rFonts w:hint="eastAsia" w:ascii="Times New Roman" w:hAnsi="Times New Roman" w:cs="Times New Roman"/>
                <w:sz w:val="18"/>
                <w:szCs w:val="18"/>
              </w:rPr>
              <w:t>表</w:t>
            </w:r>
          </w:p>
        </w:tc>
        <w:tc>
          <w:tcPr>
            <w:tcW w:w="904"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成品油：0.3</w:t>
            </w:r>
          </w:p>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重油、渣油：0.5</w:t>
            </w:r>
          </w:p>
        </w:tc>
        <w:tc>
          <w:tcPr>
            <w:tcW w:w="530"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检定/校准</w:t>
            </w:r>
          </w:p>
        </w:tc>
        <w:tc>
          <w:tcPr>
            <w:tcW w:w="607"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1次/12个月</w:t>
            </w:r>
          </w:p>
        </w:tc>
        <w:tc>
          <w:tcPr>
            <w:tcW w:w="378"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连续</w:t>
            </w:r>
          </w:p>
        </w:tc>
        <w:tc>
          <w:tcPr>
            <w:tcW w:w="37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每月</w:t>
            </w:r>
          </w:p>
        </w:tc>
        <w:tc>
          <w:tcPr>
            <w:tcW w:w="830"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安装在储油罐与燃烧设备之间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1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气态燃料</w:t>
            </w:r>
          </w:p>
        </w:tc>
        <w:tc>
          <w:tcPr>
            <w:tcW w:w="84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气体流量</w:t>
            </w:r>
            <w:r>
              <w:rPr>
                <w:rFonts w:hint="eastAsia" w:ascii="Times New Roman" w:hAnsi="Times New Roman" w:cs="Times New Roman"/>
                <w:sz w:val="18"/>
                <w:szCs w:val="18"/>
              </w:rPr>
              <w:t>表</w:t>
            </w:r>
          </w:p>
        </w:tc>
        <w:tc>
          <w:tcPr>
            <w:tcW w:w="904"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hint="eastAsia" w:ascii="Times New Roman" w:hAnsi="Times New Roman" w:cs="Times New Roman"/>
                <w:sz w:val="18"/>
                <w:szCs w:val="18"/>
              </w:rPr>
              <w:t>天然气、煤气：2.0</w:t>
            </w:r>
          </w:p>
        </w:tc>
        <w:tc>
          <w:tcPr>
            <w:tcW w:w="530"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检定/校准</w:t>
            </w:r>
          </w:p>
        </w:tc>
        <w:tc>
          <w:tcPr>
            <w:tcW w:w="607"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1次/12个月</w:t>
            </w:r>
          </w:p>
        </w:tc>
        <w:tc>
          <w:tcPr>
            <w:tcW w:w="378"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连续</w:t>
            </w:r>
          </w:p>
        </w:tc>
        <w:tc>
          <w:tcPr>
            <w:tcW w:w="379"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每月</w:t>
            </w:r>
          </w:p>
        </w:tc>
        <w:tc>
          <w:tcPr>
            <w:tcW w:w="830" w:type="pct"/>
            <w:vAlign w:val="center"/>
          </w:tcPr>
          <w:p>
            <w:pPr>
              <w:pStyle w:val="156"/>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安装于储气罐与燃烧设备之间</w:t>
            </w:r>
          </w:p>
        </w:tc>
      </w:tr>
    </w:tbl>
    <w:p>
      <w:pPr>
        <w:pStyle w:val="26"/>
        <w:rPr>
          <w:rFonts w:hint="eastAsia" w:ascii="Times New Roman" w:hAnsi="Times New Roman" w:eastAsia="宋体" w:cs="Times New Roman"/>
        </w:rPr>
      </w:pPr>
    </w:p>
    <w:p>
      <w:pPr>
        <w:pStyle w:val="26"/>
        <w:rPr>
          <w:rFonts w:hint="eastAsia" w:ascii="Times New Roman" w:cs="Times New Roman"/>
          <w:lang w:val="en-US" w:eastAsia="zh-CN"/>
        </w:rPr>
      </w:pPr>
      <w:r>
        <w:rPr>
          <w:rFonts w:hint="default" w:ascii="Times New Roman" w:hAnsi="Times New Roman" w:cs="Times New Roman"/>
        </w:rPr>
        <w:t>根据核算和报告期内各种化石燃料的</w:t>
      </w:r>
      <w:r>
        <w:rPr>
          <w:rFonts w:hint="default" w:ascii="Times New Roman" w:hAnsi="Times New Roman" w:cs="Times New Roman"/>
          <w:lang w:val="en-US" w:eastAsia="zh-CN"/>
        </w:rPr>
        <w:t>皮带秤、电子汽车衡、流量表等</w:t>
      </w:r>
      <w:r>
        <w:rPr>
          <w:rFonts w:hint="default" w:ascii="Times New Roman" w:hAnsi="Times New Roman" w:cs="Times New Roman"/>
        </w:rPr>
        <w:t>计量数据来确定化石燃料的消耗量。皮带秤、电子汽车衡、</w:t>
      </w:r>
      <w:r>
        <w:rPr>
          <w:rFonts w:hint="default" w:ascii="Times New Roman" w:hAnsi="Times New Roman" w:cs="Times New Roman"/>
          <w:lang w:val="en-US" w:eastAsia="zh-CN"/>
        </w:rPr>
        <w:t>流量表</w:t>
      </w:r>
      <w:r>
        <w:rPr>
          <w:rFonts w:hint="default" w:ascii="Times New Roman" w:hAnsi="Times New Roman" w:cs="Times New Roman"/>
        </w:rPr>
        <w:t xml:space="preserve">等计量器具的准确度等级应符合GB/T 35461或相关计量检定规程的要求。计量器具应确保在有效的检定/校准周期内，由有资质的机构至少每年进行检定/校准，并符合JJG </w:t>
      </w:r>
      <w:r>
        <w:rPr>
          <w:rFonts w:hint="default" w:ascii="Times New Roman" w:hAnsi="Times New Roman" w:cs="Times New Roman"/>
          <w:lang w:val="en-US" w:eastAsia="zh-CN"/>
        </w:rPr>
        <w:t>195</w:t>
      </w:r>
      <w:r>
        <w:rPr>
          <w:rFonts w:hint="default" w:ascii="Times New Roman" w:hAnsi="Times New Roman" w:cs="Times New Roman"/>
        </w:rPr>
        <w:t>、JJG 1118等规程的要求</w:t>
      </w:r>
      <w:r>
        <w:rPr>
          <w:rFonts w:hint="eastAsia" w:ascii="Times New Roman" w:cs="Times New Roman"/>
          <w:lang w:val="en-US" w:eastAsia="zh-CN"/>
        </w:rPr>
        <w:t>。</w:t>
      </w:r>
    </w:p>
    <w:p>
      <w:pPr>
        <w:pStyle w:val="65"/>
        <w:bidi w:val="0"/>
        <w:ind w:left="0" w:leftChars="0" w:firstLine="0" w:firstLineChars="0"/>
        <w:rPr>
          <w:rFonts w:hint="default" w:ascii="Times New Roman" w:cs="Times New Roman"/>
          <w:lang w:val="en-US" w:eastAsia="zh-CN"/>
        </w:rPr>
      </w:pPr>
      <w:r>
        <w:rPr>
          <w:rFonts w:hint="eastAsia" w:ascii="Times New Roman" w:cs="Times New Roman"/>
          <w:lang w:val="en-US" w:eastAsia="zh-CN"/>
        </w:rPr>
        <w:t>低位</w:t>
      </w:r>
      <w:r>
        <w:rPr>
          <w:rFonts w:hint="eastAsia"/>
          <w:lang w:val="en-US" w:eastAsia="zh-CN"/>
        </w:rPr>
        <w:t>发热量</w:t>
      </w:r>
    </w:p>
    <w:p>
      <w:pPr>
        <w:pStyle w:val="26"/>
        <w:rPr>
          <w:rFonts w:hint="eastAsia" w:eastAsia="宋体"/>
          <w:lang w:val="en-US" w:eastAsia="zh-CN"/>
        </w:rPr>
      </w:pPr>
      <w:r>
        <w:rPr>
          <w:rFonts w:ascii="Times New Roman"/>
        </w:rPr>
        <w:t>具备条件的企业宜开展实测，或委托专业机构进行检测，也可采用与相关方结算凭证中提供的实测值。如采用实测，化石燃料低位发热量检测应遵循GB/T 213、GB/T 384、GB/T 11062等相关规定准。不具备条件企业可采用</w:t>
      </w:r>
      <w:r>
        <w:rPr>
          <w:rFonts w:hint="eastAsia" w:ascii="Times New Roman"/>
          <w:lang w:val="en-US" w:eastAsia="zh-CN"/>
        </w:rPr>
        <w:t>表</w:t>
      </w:r>
      <w:r>
        <w:rPr>
          <w:rFonts w:hint="eastAsia" w:ascii="Times New Roman"/>
          <w:highlight w:val="none"/>
          <w:lang w:val="en-US" w:eastAsia="zh-CN"/>
        </w:rPr>
        <w:t>B.1</w:t>
      </w:r>
      <w:r>
        <w:rPr>
          <w:rFonts w:hint="eastAsia" w:ascii="Times New Roman"/>
          <w:lang w:val="en-US" w:eastAsia="zh-CN"/>
        </w:rPr>
        <w:t>中</w:t>
      </w:r>
      <w:r>
        <w:rPr>
          <w:rFonts w:ascii="Times New Roman"/>
        </w:rPr>
        <w:t>的化石燃料平均低位发热量缺省值</w:t>
      </w:r>
      <w:r>
        <w:rPr>
          <w:rFonts w:hint="eastAsia" w:ascii="Times New Roman"/>
          <w:lang w:eastAsia="zh-CN"/>
        </w:rPr>
        <w:t>。</w:t>
      </w:r>
    </w:p>
    <w:p>
      <w:pPr>
        <w:pStyle w:val="65"/>
        <w:bidi w:val="0"/>
        <w:ind w:left="0" w:leftChars="0" w:firstLine="0" w:firstLineChars="0"/>
        <w:rPr>
          <w:rFonts w:hint="eastAsia" w:hAnsi="Times New Roman" w:cs="Times New Roman"/>
          <w:highlight w:val="none"/>
        </w:rPr>
      </w:pPr>
      <w:bookmarkStart w:id="78" w:name="pindex281"/>
      <w:bookmarkEnd w:id="78"/>
      <w:r>
        <w:rPr>
          <w:rFonts w:hint="eastAsia" w:cs="Times New Roman"/>
          <w:highlight w:val="none"/>
          <w:lang w:val="en-US" w:eastAsia="zh-CN"/>
        </w:rPr>
        <w:t>单位热值含碳量和碳氧化率</w:t>
      </w:r>
    </w:p>
    <w:p>
      <w:pPr>
        <w:adjustRightInd w:val="0"/>
        <w:snapToGrid w:val="0"/>
        <w:ind w:firstLine="420" w:firstLineChars="200"/>
        <w:rPr>
          <w:rFonts w:hint="default" w:ascii="Times New Roman" w:hAnsi="Times New Roman" w:cs="Times New Roman"/>
          <w:color w:val="auto"/>
          <w:kern w:val="0"/>
          <w:szCs w:val="20"/>
          <w:highlight w:val="none"/>
        </w:rPr>
      </w:pPr>
      <w:r>
        <w:rPr>
          <w:rFonts w:ascii="Times New Roman"/>
        </w:rPr>
        <w:t>企业可采用表</w:t>
      </w:r>
      <w:r>
        <w:rPr>
          <w:rFonts w:ascii="Times New Roman"/>
          <w:highlight w:val="none"/>
        </w:rPr>
        <w:t>B.1</w:t>
      </w:r>
      <w:r>
        <w:rPr>
          <w:rFonts w:ascii="Times New Roman"/>
        </w:rPr>
        <w:t>中的单位热值含碳量和碳氧化率缺省值</w:t>
      </w:r>
      <w:r>
        <w:rPr>
          <w:rFonts w:hint="eastAsia" w:ascii="宋体"/>
          <w:color w:val="auto"/>
          <w:kern w:val="0"/>
          <w:szCs w:val="20"/>
          <w:highlight w:val="none"/>
        </w:rPr>
        <w:t>。</w:t>
      </w:r>
    </w:p>
    <w:p>
      <w:pPr>
        <w:pStyle w:val="56"/>
        <w:bidi w:val="0"/>
        <w:ind w:left="0" w:leftChars="0" w:firstLine="0" w:firstLineChars="0"/>
      </w:pPr>
      <w:bookmarkStart w:id="79" w:name="_Toc11717"/>
      <w:bookmarkStart w:id="80" w:name="_Toc21213"/>
      <w:bookmarkStart w:id="81" w:name="_Toc26586"/>
      <w:bookmarkStart w:id="82" w:name="_Toc10990"/>
      <w:bookmarkStart w:id="83" w:name="_Toc16783"/>
      <w:bookmarkStart w:id="84" w:name="_Toc5313"/>
      <w:r>
        <w:rPr>
          <w:rFonts w:hint="eastAsia"/>
        </w:rPr>
        <w:t>过程排放</w:t>
      </w:r>
      <w:bookmarkEnd w:id="79"/>
      <w:bookmarkEnd w:id="80"/>
      <w:bookmarkEnd w:id="81"/>
      <w:bookmarkEnd w:id="82"/>
      <w:bookmarkEnd w:id="83"/>
      <w:bookmarkEnd w:id="84"/>
      <w:bookmarkStart w:id="85" w:name="pindex289"/>
      <w:bookmarkEnd w:id="85"/>
    </w:p>
    <w:p>
      <w:pPr>
        <w:pStyle w:val="60"/>
        <w:bidi w:val="0"/>
        <w:ind w:left="0" w:leftChars="0" w:firstLine="0" w:firstLineChars="0"/>
        <w:rPr>
          <w:rFonts w:hint="eastAsia"/>
        </w:rPr>
      </w:pPr>
      <w:r>
        <w:rPr>
          <w:rFonts w:hint="eastAsia"/>
          <w:lang w:val="en-US" w:eastAsia="zh-CN"/>
        </w:rPr>
        <w:t>计算公式</w:t>
      </w:r>
    </w:p>
    <w:p>
      <w:pPr>
        <w:adjustRightInd w:val="0"/>
        <w:snapToGrid w:val="0"/>
        <w:ind w:firstLine="420" w:firstLineChars="200"/>
        <w:rPr>
          <w:rFonts w:hint="eastAsia"/>
          <w:lang w:val="en-US" w:eastAsia="zh-CN"/>
        </w:rPr>
      </w:pPr>
      <w:r>
        <w:rPr>
          <w:rFonts w:hint="eastAsia" w:ascii="Times New Roman"/>
          <w:lang w:val="en-US" w:eastAsia="zh-CN"/>
        </w:rPr>
        <w:t>玻璃纤维及</w:t>
      </w:r>
      <w:r>
        <w:rPr>
          <w:rFonts w:ascii="Times New Roman"/>
        </w:rPr>
        <w:t>制品生产</w:t>
      </w:r>
      <w:r>
        <w:rPr>
          <w:rFonts w:hint="eastAsia" w:ascii="Times New Roman"/>
        </w:rPr>
        <w:t>企业</w:t>
      </w:r>
      <w:r>
        <w:rPr>
          <w:rFonts w:hint="eastAsia"/>
          <w:lang w:val="en-US" w:eastAsia="zh-CN"/>
        </w:rPr>
        <w:t>过程排放包括</w:t>
      </w:r>
      <w:r>
        <w:rPr>
          <w:rFonts w:hint="eastAsia" w:ascii="Times New Roman"/>
        </w:rPr>
        <w:t>企业</w:t>
      </w:r>
      <w:r>
        <w:rPr>
          <w:rFonts w:hint="eastAsia" w:ascii="Times New Roman"/>
          <w:lang w:val="en-US" w:eastAsia="zh-CN"/>
        </w:rPr>
        <w:t>碳酸盐分解</w:t>
      </w:r>
      <w:r>
        <w:rPr>
          <w:rFonts w:hint="eastAsia" w:ascii="Times New Roman"/>
        </w:rPr>
        <w:t>产生的二氧化碳排放</w:t>
      </w:r>
      <w:r>
        <w:rPr>
          <w:rFonts w:hint="eastAsia"/>
          <w:lang w:val="en-US" w:eastAsia="zh-CN"/>
        </w:rPr>
        <w:t>量和碳粉氧化产生的排放量之和，按公式（4）计算：</w:t>
      </w:r>
    </w:p>
    <w:p>
      <w:pPr>
        <w:adjustRightInd w:val="0"/>
        <w:snapToGrid w:val="0"/>
        <w:ind w:firstLine="420" w:firstLineChars="200"/>
        <w:rPr>
          <w:rFonts w:hint="eastAsia"/>
          <w:lang w:val="en-US" w:eastAsia="zh-CN"/>
        </w:rPr>
      </w:pPr>
    </w:p>
    <w:p>
      <w:pPr>
        <w:adjustRightInd w:val="0"/>
        <w:snapToGrid w:val="0"/>
        <w:ind w:firstLine="3360" w:firstLineChars="1600"/>
        <w:rPr>
          <w:rFonts w:hint="eastAsia"/>
          <w:lang w:val="en-US" w:eastAsia="zh-CN"/>
        </w:rPr>
      </w:pPr>
      <w:r>
        <w:rPr>
          <w:rFonts w:hint="default" w:ascii="Times New Roman" w:hAnsi="Times New Roman" w:cs="Times New Roman"/>
          <w:i/>
          <w:iCs/>
          <w:kern w:val="0"/>
          <w:position w:val="-16"/>
          <w:szCs w:val="20"/>
        </w:rPr>
        <w:object>
          <v:shape id="_x0000_i1025" o:spt="75" type="#_x0000_t75" style="height:20.3pt;width:116.3pt;" o:ole="t" filled="f" o:preferrelative="t" stroked="f" coordsize="21600,21600">
            <v:path/>
            <v:fill on="f" focussize="0,0"/>
            <v:stroke on="f"/>
            <v:imagedata r:id="rId24" o:title=""/>
            <o:lock v:ext="edit" aspectratio="t"/>
            <w10:wrap type="none"/>
            <w10:anchorlock/>
          </v:shape>
          <o:OLEObject Type="Embed" ProgID="Equation.3" ShapeID="_x0000_i1025" DrawAspect="Content" ObjectID="_1468075725" r:id="rId23">
            <o:LockedField>false</o:LockedField>
          </o:OLEObject>
        </w:object>
      </w:r>
      <w:r>
        <w:rPr>
          <w:rFonts w:hint="eastAsia" w:ascii="宋体"/>
          <w:color w:val="auto"/>
          <w:kern w:val="0"/>
          <w:szCs w:val="20"/>
        </w:rPr>
        <w:t xml:space="preserve">          </w:t>
      </w:r>
      <w:r>
        <w:rPr>
          <w:rFonts w:hint="eastAsia" w:ascii="宋体"/>
          <w:color w:val="auto"/>
          <w:kern w:val="0"/>
          <w:szCs w:val="20"/>
          <w:lang w:val="en-US" w:eastAsia="zh-CN"/>
        </w:rPr>
        <w:t xml:space="preserve">    </w:t>
      </w:r>
      <w:r>
        <w:rPr>
          <w:rFonts w:hint="eastAsia" w:ascii="宋体"/>
          <w:color w:val="auto"/>
          <w:kern w:val="0"/>
          <w:szCs w:val="20"/>
        </w:rPr>
        <w:t xml:space="preserve">                    （</w:t>
      </w:r>
      <w:r>
        <w:rPr>
          <w:rFonts w:hint="eastAsia" w:ascii="宋体"/>
          <w:color w:val="auto"/>
          <w:kern w:val="0"/>
          <w:szCs w:val="20"/>
          <w:lang w:val="en-US" w:eastAsia="zh-CN"/>
        </w:rPr>
        <w:t>4</w:t>
      </w:r>
      <w:r>
        <w:rPr>
          <w:rFonts w:hint="eastAsia" w:ascii="宋体"/>
          <w:color w:val="auto"/>
          <w:kern w:val="0"/>
          <w:szCs w:val="20"/>
        </w:rPr>
        <w:t>）</w:t>
      </w:r>
    </w:p>
    <w:p>
      <w:pPr>
        <w:adjustRightInd w:val="0"/>
        <w:snapToGrid w:val="0"/>
        <w:ind w:firstLine="420" w:firstLineChars="200"/>
        <w:rPr>
          <w:rFonts w:hint="eastAsia"/>
          <w:lang w:val="en-US" w:eastAsia="zh-CN"/>
        </w:rPr>
      </w:pPr>
    </w:p>
    <w:p>
      <w:pPr>
        <w:pStyle w:val="167"/>
        <w:ind w:firstLine="420"/>
        <w:rPr>
          <w:rFonts w:ascii="Times New Roman" w:hAnsi="Times New Roman"/>
        </w:rPr>
      </w:pPr>
      <w:r>
        <w:rPr>
          <w:rFonts w:ascii="Times New Roman" w:hAnsi="Times New Roman"/>
        </w:rPr>
        <w:t>式中：</w:t>
      </w:r>
    </w:p>
    <w:tbl>
      <w:tblPr>
        <w:tblStyle w:val="39"/>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7"/>
        <w:gridCol w:w="373"/>
        <w:gridCol w:w="80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67" w:type="dxa"/>
            <w:vAlign w:val="top"/>
          </w:tcPr>
          <w:p>
            <w:pPr>
              <w:pStyle w:val="159"/>
              <w:adjustRightInd w:val="0"/>
              <w:snapToGrid w:val="0"/>
              <w:ind w:firstLine="0" w:firstLineChars="0"/>
              <w:rPr>
                <w:rFonts w:ascii="Cambria Math" w:hAnsi="Cambria Math"/>
                <w:i/>
                <w:szCs w:val="18"/>
                <w:oMath/>
              </w:rPr>
            </w:pPr>
            <w:r>
              <w:rPr>
                <w:rFonts w:hint="eastAsia" w:ascii="宋体"/>
                <w:i/>
                <w:iCs/>
                <w:color w:val="auto"/>
                <w:kern w:val="0"/>
                <w:szCs w:val="20"/>
                <w:lang w:val="en-US" w:eastAsia="zh-CN"/>
              </w:rPr>
              <w:t>E</w:t>
            </w:r>
            <w:r>
              <w:rPr>
                <w:rFonts w:hint="eastAsia" w:ascii="宋体"/>
                <w:i/>
                <w:iCs/>
                <w:color w:val="auto"/>
                <w:kern w:val="0"/>
                <w:szCs w:val="20"/>
                <w:vertAlign w:val="subscript"/>
                <w:lang w:val="en-US" w:eastAsia="zh-CN"/>
              </w:rPr>
              <w:t>过程</w:t>
            </w:r>
          </w:p>
        </w:tc>
        <w:tc>
          <w:tcPr>
            <w:tcW w:w="373" w:type="dxa"/>
            <w:vAlign w:val="top"/>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087" w:type="dxa"/>
            <w:vAlign w:val="top"/>
          </w:tcPr>
          <w:p>
            <w:pPr>
              <w:pStyle w:val="159"/>
              <w:adjustRightInd w:val="0"/>
              <w:snapToGrid w:val="0"/>
              <w:ind w:left="-105" w:leftChars="-50" w:firstLine="0" w:firstLineChars="0"/>
              <w:rPr>
                <w:rFonts w:ascii="Times New Roman"/>
                <w:szCs w:val="18"/>
              </w:rPr>
            </w:pPr>
            <w:r>
              <w:rPr>
                <w:rFonts w:hint="eastAsia" w:ascii="Times New Roman"/>
                <w:szCs w:val="18"/>
              </w:rPr>
              <w:t>企业</w:t>
            </w:r>
            <w:r>
              <w:rPr>
                <w:rFonts w:ascii="Times New Roman"/>
                <w:szCs w:val="18"/>
              </w:rPr>
              <w:t>二氧化碳</w:t>
            </w:r>
            <w:r>
              <w:rPr>
                <w:rFonts w:hint="eastAsia"/>
                <w:szCs w:val="18"/>
                <w:lang w:val="en-US" w:eastAsia="zh-CN"/>
              </w:rPr>
              <w:t>过程排放</w:t>
            </w:r>
            <w:r>
              <w:rPr>
                <w:rFonts w:ascii="Times New Roman"/>
                <w:szCs w:val="18"/>
              </w:rPr>
              <w:t>量，</w:t>
            </w:r>
            <w:r>
              <w:rPr>
                <w:rFonts w:hint="eastAsia" w:ascii="Times New Roman"/>
                <w:szCs w:val="18"/>
              </w:rPr>
              <w:t>以</w:t>
            </w:r>
            <w:r>
              <w:rPr>
                <w:rFonts w:ascii="Times New Roman"/>
                <w:szCs w:val="18"/>
              </w:rPr>
              <w:t>吨二氧化碳（tCO</w:t>
            </w:r>
            <w:r>
              <w:rPr>
                <w:rFonts w:ascii="Times New Roman"/>
                <w:szCs w:val="18"/>
                <w:vertAlign w:val="subscript"/>
              </w:rPr>
              <w:t>2</w:t>
            </w:r>
            <w:r>
              <w:rPr>
                <w:rFonts w:ascii="Times New Roman"/>
                <w:szCs w:val="18"/>
              </w:rPr>
              <w:t>）</w:t>
            </w:r>
            <w:r>
              <w:rPr>
                <w:rFonts w:hint="eastAsia" w:ascii="Times New Roman"/>
                <w:szCs w:val="18"/>
              </w:rPr>
              <w:t>计</w:t>
            </w:r>
            <w:r>
              <w:rPr>
                <w:rFonts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67" w:type="dxa"/>
          </w:tcPr>
          <w:p>
            <w:pPr>
              <w:pStyle w:val="159"/>
              <w:adjustRightInd w:val="0"/>
              <w:snapToGrid w:val="0"/>
              <w:ind w:firstLine="0" w:firstLineChars="0"/>
              <w:rPr>
                <w:rFonts w:ascii="Times New Roman"/>
                <w:szCs w:val="18"/>
              </w:rPr>
            </w:pPr>
            <w:r>
              <w:rPr>
                <w:rFonts w:hint="eastAsia" w:ascii="宋体"/>
                <w:i/>
                <w:iCs/>
                <w:color w:val="auto"/>
                <w:kern w:val="0"/>
                <w:szCs w:val="20"/>
                <w:lang w:val="en-US" w:eastAsia="zh-CN"/>
              </w:rPr>
              <w:t>E</w:t>
            </w:r>
            <w:r>
              <w:rPr>
                <w:rFonts w:hint="eastAsia" w:ascii="宋体"/>
                <w:i/>
                <w:iCs/>
                <w:color w:val="auto"/>
                <w:kern w:val="0"/>
                <w:szCs w:val="20"/>
                <w:vertAlign w:val="subscript"/>
                <w:lang w:val="en-US" w:eastAsia="zh-CN"/>
              </w:rPr>
              <w:t>碳酸盐</w:t>
            </w:r>
          </w:p>
        </w:tc>
        <w:tc>
          <w:tcPr>
            <w:tcW w:w="373"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087" w:type="dxa"/>
          </w:tcPr>
          <w:p>
            <w:pPr>
              <w:pStyle w:val="159"/>
              <w:adjustRightInd w:val="0"/>
              <w:snapToGrid w:val="0"/>
              <w:ind w:left="-105" w:leftChars="-50" w:firstLine="0" w:firstLineChars="0"/>
              <w:rPr>
                <w:rFonts w:ascii="Times New Roman"/>
                <w:szCs w:val="18"/>
              </w:rPr>
            </w:pPr>
            <w:r>
              <w:rPr>
                <w:rFonts w:hint="eastAsia" w:ascii="宋体"/>
                <w:color w:val="auto"/>
                <w:kern w:val="0"/>
                <w:szCs w:val="20"/>
                <w:lang w:val="en-US" w:eastAsia="zh-CN"/>
              </w:rPr>
              <w:t>碳酸盐分解产生的二氧化碳排放量</w:t>
            </w:r>
            <w:r>
              <w:rPr>
                <w:rFonts w:hint="eastAsia" w:ascii="宋体"/>
                <w:color w:val="auto"/>
                <w:kern w:val="0"/>
                <w:szCs w:val="20"/>
              </w:rPr>
              <w:t>，</w:t>
            </w:r>
            <w:r>
              <w:rPr>
                <w:rFonts w:hint="eastAsia" w:ascii="Times New Roman"/>
                <w:szCs w:val="18"/>
              </w:rPr>
              <w:t>以</w:t>
            </w:r>
            <w:r>
              <w:rPr>
                <w:rFonts w:ascii="Times New Roman"/>
                <w:szCs w:val="18"/>
              </w:rPr>
              <w:t>吨二氧化碳（tCO</w:t>
            </w:r>
            <w:r>
              <w:rPr>
                <w:rFonts w:ascii="Times New Roman"/>
                <w:szCs w:val="18"/>
                <w:vertAlign w:val="subscript"/>
              </w:rPr>
              <w:t>2</w:t>
            </w:r>
            <w:r>
              <w:rPr>
                <w:rFonts w:ascii="Times New Roman"/>
                <w:szCs w:val="18"/>
              </w:rPr>
              <w:t>）</w:t>
            </w:r>
            <w:r>
              <w:rPr>
                <w:rFonts w:hint="eastAsia" w:ascii="Times New Roman"/>
                <w:szCs w:val="18"/>
              </w:rPr>
              <w:t>计</w:t>
            </w:r>
            <w:r>
              <w:rPr>
                <w:rFonts w:hint="eastAsia"/>
                <w:szCs w:val="18"/>
                <w:lang w:eastAsia="zh-CN"/>
              </w:rPr>
              <w:t>，</w:t>
            </w:r>
            <w:r>
              <w:rPr>
                <w:rFonts w:hint="eastAsia"/>
                <w:szCs w:val="18"/>
                <w:lang w:val="en-US" w:eastAsia="zh-CN"/>
              </w:rPr>
              <w:t>按公式（5）计算</w:t>
            </w:r>
            <w:r>
              <w:rPr>
                <w:rFonts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67" w:type="dxa"/>
          </w:tcPr>
          <w:p>
            <w:pPr>
              <w:pStyle w:val="159"/>
              <w:adjustRightInd w:val="0"/>
              <w:snapToGrid w:val="0"/>
              <w:ind w:firstLine="0" w:firstLineChars="0"/>
              <w:rPr>
                <w:rFonts w:ascii="Times New Roman"/>
                <w:iCs/>
                <w:szCs w:val="18"/>
              </w:rPr>
            </w:pPr>
            <w:r>
              <w:rPr>
                <w:rFonts w:hint="eastAsia" w:ascii="宋体"/>
                <w:i/>
                <w:iCs/>
                <w:color w:val="auto"/>
                <w:kern w:val="0"/>
                <w:szCs w:val="20"/>
              </w:rPr>
              <w:t>E</w:t>
            </w:r>
            <w:r>
              <w:rPr>
                <w:rFonts w:hint="eastAsia" w:ascii="宋体"/>
                <w:i/>
                <w:iCs/>
                <w:color w:val="auto"/>
                <w:kern w:val="0"/>
                <w:szCs w:val="20"/>
                <w:vertAlign w:val="subscript"/>
                <w:lang w:val="en-US" w:eastAsia="zh-CN"/>
              </w:rPr>
              <w:t>碳粉</w:t>
            </w:r>
          </w:p>
        </w:tc>
        <w:tc>
          <w:tcPr>
            <w:tcW w:w="373"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087" w:type="dxa"/>
          </w:tcPr>
          <w:p>
            <w:pPr>
              <w:pStyle w:val="159"/>
              <w:adjustRightInd w:val="0"/>
              <w:snapToGrid w:val="0"/>
              <w:ind w:left="-105" w:leftChars="-50" w:firstLine="0" w:firstLineChars="0"/>
              <w:rPr>
                <w:rFonts w:ascii="Times New Roman"/>
                <w:szCs w:val="18"/>
              </w:rPr>
            </w:pPr>
            <w:r>
              <w:rPr>
                <w:rFonts w:hint="eastAsia"/>
                <w:szCs w:val="18"/>
                <w:lang w:val="en-US" w:eastAsia="zh-CN"/>
              </w:rPr>
              <w:t>碳粉氧化产生的二氧化碳排放量</w:t>
            </w:r>
            <w:r>
              <w:rPr>
                <w:rFonts w:hint="eastAsia" w:ascii="宋体"/>
                <w:color w:val="auto"/>
                <w:kern w:val="0"/>
                <w:szCs w:val="20"/>
              </w:rPr>
              <w:t>，</w:t>
            </w:r>
            <w:r>
              <w:rPr>
                <w:rFonts w:hint="eastAsia" w:ascii="Times New Roman"/>
                <w:szCs w:val="18"/>
              </w:rPr>
              <w:t>以</w:t>
            </w:r>
            <w:r>
              <w:rPr>
                <w:rFonts w:ascii="Times New Roman"/>
                <w:szCs w:val="18"/>
              </w:rPr>
              <w:t>吨二氧化碳（tCO</w:t>
            </w:r>
            <w:r>
              <w:rPr>
                <w:rFonts w:ascii="Times New Roman"/>
                <w:szCs w:val="18"/>
                <w:vertAlign w:val="subscript"/>
              </w:rPr>
              <w:t>2</w:t>
            </w:r>
            <w:r>
              <w:rPr>
                <w:rFonts w:ascii="Times New Roman"/>
                <w:szCs w:val="18"/>
              </w:rPr>
              <w:t>）</w:t>
            </w:r>
            <w:r>
              <w:rPr>
                <w:rFonts w:hint="eastAsia" w:ascii="Times New Roman"/>
                <w:szCs w:val="18"/>
              </w:rPr>
              <w:t>计</w:t>
            </w:r>
            <w:r>
              <w:rPr>
                <w:rFonts w:hint="eastAsia"/>
                <w:szCs w:val="18"/>
                <w:lang w:eastAsia="zh-CN"/>
              </w:rPr>
              <w:t>，</w:t>
            </w:r>
            <w:r>
              <w:rPr>
                <w:rFonts w:hint="eastAsia"/>
                <w:szCs w:val="18"/>
                <w:lang w:val="en-US" w:eastAsia="zh-CN"/>
              </w:rPr>
              <w:t>按公式（5）计算。</w:t>
            </w:r>
          </w:p>
        </w:tc>
      </w:tr>
    </w:tbl>
    <w:p>
      <w:pPr>
        <w:adjustRightInd w:val="0"/>
        <w:snapToGrid w:val="0"/>
        <w:rPr>
          <w:rFonts w:hint="eastAsia" w:ascii="Times New Roman"/>
          <w:lang w:val="en-US" w:eastAsia="zh-CN"/>
        </w:rPr>
      </w:pPr>
    </w:p>
    <w:p>
      <w:pPr>
        <w:adjustRightInd w:val="0"/>
        <w:snapToGrid w:val="0"/>
        <w:ind w:firstLine="420" w:firstLineChars="200"/>
        <w:rPr>
          <w:rFonts w:hint="eastAsia"/>
          <w:lang w:val="en-US" w:eastAsia="zh-CN"/>
        </w:rPr>
      </w:pPr>
      <w:r>
        <w:rPr>
          <w:rFonts w:hint="eastAsia" w:ascii="Times New Roman"/>
          <w:lang w:val="en-US" w:eastAsia="zh-CN"/>
        </w:rPr>
        <w:t>碳酸盐分解</w:t>
      </w:r>
      <w:r>
        <w:rPr>
          <w:rFonts w:hint="eastAsia" w:ascii="Times New Roman"/>
        </w:rPr>
        <w:t>产生的二氧化碳排放量是核算和报告期内企业</w:t>
      </w:r>
      <w:r>
        <w:rPr>
          <w:rFonts w:hint="eastAsia" w:ascii="宋体"/>
          <w:color w:val="auto"/>
          <w:kern w:val="0"/>
          <w:szCs w:val="20"/>
        </w:rPr>
        <w:t>石灰石、白云石、纯碱</w:t>
      </w:r>
      <w:r>
        <w:rPr>
          <w:rFonts w:hint="eastAsia" w:ascii="宋体"/>
          <w:color w:val="auto"/>
          <w:kern w:val="0"/>
          <w:szCs w:val="20"/>
          <w:lang w:val="en-US" w:eastAsia="zh-CN"/>
        </w:rPr>
        <w:t>等原料中</w:t>
      </w:r>
      <w:r>
        <w:rPr>
          <w:rFonts w:hint="eastAsia" w:ascii="宋体"/>
          <w:color w:val="auto"/>
          <w:kern w:val="0"/>
          <w:szCs w:val="20"/>
        </w:rPr>
        <w:t>碳酸盐在高温熔融状态下分解产生</w:t>
      </w:r>
      <w:r>
        <w:rPr>
          <w:rFonts w:hint="eastAsia" w:ascii="宋体"/>
          <w:color w:val="auto"/>
          <w:kern w:val="0"/>
          <w:szCs w:val="20"/>
          <w:lang w:val="en-US" w:eastAsia="zh-CN"/>
        </w:rPr>
        <w:t>的二氧化碳排放量</w:t>
      </w:r>
      <w:r>
        <w:rPr>
          <w:rFonts w:hint="eastAsia"/>
          <w:lang w:val="en-US" w:eastAsia="zh-CN"/>
        </w:rPr>
        <w:t>的</w:t>
      </w:r>
      <w:r>
        <w:rPr>
          <w:rFonts w:hint="eastAsia" w:ascii="Times New Roman"/>
        </w:rPr>
        <w:t>总和</w:t>
      </w:r>
      <w:r>
        <w:rPr>
          <w:rFonts w:hint="eastAsia"/>
          <w:lang w:val="en-US" w:eastAsia="zh-CN"/>
        </w:rPr>
        <w:t>：</w:t>
      </w:r>
    </w:p>
    <w:p>
      <w:pPr>
        <w:adjustRightInd w:val="0"/>
        <w:snapToGrid w:val="0"/>
        <w:ind w:firstLine="420" w:firstLineChars="200"/>
        <w:rPr>
          <w:rFonts w:hint="default"/>
          <w:lang w:val="en-US" w:eastAsia="zh-CN"/>
        </w:rPr>
      </w:pPr>
    </w:p>
    <w:p>
      <w:pPr>
        <w:wordWrap w:val="0"/>
        <w:adjustRightInd w:val="0"/>
        <w:snapToGrid w:val="0"/>
        <w:ind w:firstLine="420" w:firstLineChars="200"/>
        <w:jc w:val="right"/>
        <w:rPr>
          <w:rFonts w:ascii="宋体"/>
          <w:color w:val="auto"/>
          <w:kern w:val="0"/>
          <w:szCs w:val="20"/>
        </w:rPr>
      </w:pPr>
      <w:r>
        <w:rPr>
          <w:rFonts w:ascii="宋体"/>
          <w:color w:val="auto"/>
          <w:kern w:val="0"/>
          <w:position w:val="-18"/>
          <w:szCs w:val="20"/>
        </w:rPr>
        <w:object>
          <v:shape id="_x0000_i1026" o:spt="75" type="#_x0000_t75" style="height:21.95pt;width:204.45pt;" o:ole="t" filled="f" o:preferrelative="t" stroked="f" coordsize="21600,21600">
            <v:path/>
            <v:fill on="f" focussize="0,0"/>
            <v:stroke on="f"/>
            <v:imagedata r:id="rId26" o:title=""/>
            <o:lock v:ext="edit" aspectratio="t"/>
            <w10:wrap type="none"/>
            <w10:anchorlock/>
          </v:shape>
          <o:OLEObject Type="Embed" ProgID="Equation.3" ShapeID="_x0000_i1026" DrawAspect="Content" ObjectID="_1468075726" r:id="rId25">
            <o:LockedField>false</o:LockedField>
          </o:OLEObject>
        </w:object>
      </w:r>
      <w:r>
        <w:rPr>
          <w:rFonts w:hint="eastAsia" w:ascii="宋体"/>
          <w:color w:val="auto"/>
          <w:kern w:val="0"/>
          <w:szCs w:val="20"/>
        </w:rPr>
        <w:t xml:space="preserve">                        </w:t>
      </w:r>
      <w:r>
        <w:rPr>
          <w:rFonts w:hint="eastAsia" w:ascii="宋体"/>
          <w:color w:val="auto"/>
          <w:kern w:val="0"/>
          <w:szCs w:val="20"/>
          <w:lang w:val="en-US" w:eastAsia="zh-CN"/>
        </w:rPr>
        <w:t xml:space="preserve"> </w:t>
      </w:r>
      <w:r>
        <w:rPr>
          <w:rFonts w:hint="eastAsia" w:ascii="宋体"/>
          <w:color w:val="auto"/>
          <w:kern w:val="0"/>
          <w:szCs w:val="20"/>
        </w:rPr>
        <w:t xml:space="preserve">       （</w:t>
      </w:r>
      <w:r>
        <w:rPr>
          <w:rFonts w:hint="eastAsia" w:ascii="宋体"/>
          <w:color w:val="auto"/>
          <w:kern w:val="0"/>
          <w:szCs w:val="20"/>
          <w:lang w:val="en-US" w:eastAsia="zh-CN"/>
        </w:rPr>
        <w:t>5</w:t>
      </w:r>
      <w:r>
        <w:rPr>
          <w:rFonts w:hint="eastAsia" w:ascii="宋体"/>
          <w:color w:val="auto"/>
          <w:kern w:val="0"/>
          <w:szCs w:val="20"/>
        </w:rPr>
        <w:t>）</w:t>
      </w:r>
      <w:bookmarkStart w:id="86" w:name="pindex292"/>
      <w:bookmarkEnd w:id="86"/>
    </w:p>
    <w:p>
      <w:pPr>
        <w:adjustRightInd w:val="0"/>
        <w:snapToGrid w:val="0"/>
        <w:ind w:firstLine="420" w:firstLineChars="200"/>
        <w:rPr>
          <w:rFonts w:hint="eastAsia" w:ascii="宋体"/>
          <w:color w:val="auto"/>
          <w:kern w:val="0"/>
          <w:szCs w:val="20"/>
        </w:rPr>
      </w:pPr>
      <w:r>
        <w:rPr>
          <w:rFonts w:hint="eastAsia" w:ascii="宋体"/>
          <w:color w:val="auto"/>
          <w:kern w:val="0"/>
          <w:szCs w:val="20"/>
        </w:rPr>
        <w:t>式中：</w:t>
      </w:r>
    </w:p>
    <w:tbl>
      <w:tblPr>
        <w:tblStyle w:val="39"/>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7"/>
        <w:gridCol w:w="364"/>
        <w:gridCol w:w="78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27" w:type="dxa"/>
            <w:vAlign w:val="top"/>
          </w:tcPr>
          <w:p>
            <w:pPr>
              <w:pStyle w:val="159"/>
              <w:adjustRightInd w:val="0"/>
              <w:snapToGrid w:val="0"/>
              <w:ind w:firstLine="0" w:firstLineChars="0"/>
              <w:rPr>
                <w:rFonts w:ascii="Cambria Math" w:hAnsi="Cambria Math"/>
                <w:i/>
                <w:szCs w:val="18"/>
                <w:oMath/>
              </w:rPr>
            </w:pPr>
            <w:r>
              <w:rPr>
                <w:rFonts w:hint="eastAsia" w:ascii="宋体"/>
                <w:i/>
                <w:iCs/>
                <w:color w:val="auto"/>
                <w:kern w:val="0"/>
                <w:szCs w:val="20"/>
              </w:rPr>
              <w:t>M</w:t>
            </w:r>
            <w:r>
              <w:rPr>
                <w:rFonts w:hint="eastAsia" w:ascii="宋体"/>
                <w:i/>
                <w:iCs/>
                <w:color w:val="auto"/>
                <w:kern w:val="0"/>
                <w:szCs w:val="20"/>
                <w:vertAlign w:val="subscript"/>
                <w:lang w:val="en-US" w:eastAsia="zh-CN"/>
              </w:rPr>
              <w:t>j</w:t>
            </w:r>
          </w:p>
        </w:tc>
        <w:tc>
          <w:tcPr>
            <w:tcW w:w="364" w:type="dxa"/>
            <w:vAlign w:val="top"/>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836" w:type="dxa"/>
            <w:vAlign w:val="top"/>
          </w:tcPr>
          <w:p>
            <w:pPr>
              <w:pStyle w:val="159"/>
              <w:adjustRightInd w:val="0"/>
              <w:snapToGrid w:val="0"/>
              <w:ind w:left="0" w:leftChars="0" w:firstLine="0" w:firstLineChars="0"/>
              <w:rPr>
                <w:rFonts w:ascii="Times New Roman"/>
                <w:szCs w:val="18"/>
              </w:rPr>
            </w:pPr>
            <w:r>
              <w:rPr>
                <w:rFonts w:hint="eastAsia" w:ascii="宋体"/>
                <w:color w:val="auto"/>
                <w:kern w:val="0"/>
                <w:szCs w:val="20"/>
                <w:lang w:val="en-US" w:eastAsia="zh-CN"/>
              </w:rPr>
              <w:t>核算和</w:t>
            </w:r>
            <w:r>
              <w:rPr>
                <w:rFonts w:hint="eastAsia" w:ascii="宋体"/>
                <w:color w:val="auto"/>
                <w:kern w:val="0"/>
                <w:szCs w:val="20"/>
                <w:lang w:eastAsia="zh-CN"/>
              </w:rPr>
              <w:t>报告期</w:t>
            </w:r>
            <w:r>
              <w:rPr>
                <w:rFonts w:hint="eastAsia" w:ascii="宋体"/>
                <w:color w:val="auto"/>
                <w:kern w:val="0"/>
                <w:szCs w:val="20"/>
              </w:rPr>
              <w:t>内</w:t>
            </w:r>
            <w:r>
              <w:rPr>
                <w:rFonts w:hint="eastAsia" w:ascii="Segoe UI Symbol" w:hAnsi="Segoe UI Symbol"/>
                <w:color w:val="auto"/>
                <w:kern w:val="0"/>
                <w:szCs w:val="20"/>
              </w:rPr>
              <w:t>消耗</w:t>
            </w:r>
            <w:r>
              <w:rPr>
                <w:rFonts w:hint="eastAsia" w:ascii="宋体"/>
                <w:color w:val="auto"/>
                <w:kern w:val="0"/>
                <w:szCs w:val="20"/>
              </w:rPr>
              <w:t>碳酸盐</w:t>
            </w:r>
            <w:r>
              <w:rPr>
                <w:rFonts w:hint="eastAsia" w:ascii="宋体"/>
                <w:color w:val="auto"/>
                <w:kern w:val="0"/>
                <w:szCs w:val="20"/>
                <w:lang w:val="en-US" w:eastAsia="zh-CN"/>
              </w:rPr>
              <w:t>原料</w:t>
            </w:r>
            <w:r>
              <w:rPr>
                <w:rFonts w:hint="eastAsia" w:cs="Times New Roman"/>
                <w:i/>
                <w:iCs/>
                <w:color w:val="auto"/>
                <w:kern w:val="0"/>
                <w:szCs w:val="20"/>
                <w:lang w:val="en-US" w:eastAsia="zh-CN"/>
              </w:rPr>
              <w:t>j</w:t>
            </w:r>
            <w:r>
              <w:rPr>
                <w:rFonts w:hint="eastAsia" w:ascii="宋体"/>
                <w:color w:val="auto"/>
                <w:kern w:val="0"/>
                <w:szCs w:val="20"/>
              </w:rPr>
              <w:t>的总质量，</w:t>
            </w:r>
            <w:r>
              <w:rPr>
                <w:rFonts w:hint="eastAsia" w:ascii="宋体"/>
                <w:color w:val="auto"/>
                <w:kern w:val="0"/>
                <w:szCs w:val="20"/>
                <w:lang w:val="en-US" w:eastAsia="zh-CN"/>
              </w:rPr>
              <w:t>以</w:t>
            </w:r>
            <w:r>
              <w:rPr>
                <w:rFonts w:hint="eastAsia" w:ascii="宋体"/>
                <w:color w:val="auto"/>
                <w:kern w:val="0"/>
                <w:szCs w:val="20"/>
              </w:rPr>
              <w:t>吨（t）</w:t>
            </w:r>
            <w:r>
              <w:rPr>
                <w:rFonts w:hint="eastAsia" w:ascii="宋体"/>
                <w:color w:val="auto"/>
                <w:kern w:val="0"/>
                <w:szCs w:val="20"/>
                <w:lang w:val="en-US" w:eastAsia="zh-CN"/>
              </w:rPr>
              <w:t>计</w:t>
            </w:r>
            <w:r>
              <w:rPr>
                <w:rFonts w:hint="eastAsia" w:ascii="宋体"/>
                <w:color w:val="auto"/>
                <w:kern w:val="0"/>
                <w:szCs w:val="20"/>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27" w:type="dxa"/>
          </w:tcPr>
          <w:p>
            <w:pPr>
              <w:pStyle w:val="159"/>
              <w:adjustRightInd w:val="0"/>
              <w:snapToGrid w:val="0"/>
              <w:ind w:firstLine="0" w:firstLineChars="0"/>
              <w:rPr>
                <w:rFonts w:ascii="Times New Roman"/>
                <w:szCs w:val="18"/>
              </w:rPr>
            </w:pPr>
            <w:r>
              <w:rPr>
                <w:rFonts w:hint="eastAsia" w:ascii="宋体"/>
                <w:i/>
                <w:iCs/>
                <w:color w:val="auto"/>
                <w:kern w:val="0"/>
                <w:szCs w:val="20"/>
              </w:rPr>
              <w:t>MF</w:t>
            </w:r>
            <w:r>
              <w:rPr>
                <w:rFonts w:hint="eastAsia" w:ascii="宋体"/>
                <w:i/>
                <w:iCs/>
                <w:color w:val="auto"/>
                <w:kern w:val="0"/>
                <w:szCs w:val="20"/>
                <w:vertAlign w:val="subscript"/>
                <w:lang w:val="en-US" w:eastAsia="zh-CN"/>
              </w:rPr>
              <w:t>j</w:t>
            </w:r>
          </w:p>
        </w:tc>
        <w:tc>
          <w:tcPr>
            <w:tcW w:w="364"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836" w:type="dxa"/>
          </w:tcPr>
          <w:p>
            <w:pPr>
              <w:adjustRightInd w:val="0"/>
              <w:snapToGrid w:val="0"/>
              <w:rPr>
                <w:rFonts w:ascii="Times New Roman"/>
                <w:szCs w:val="18"/>
              </w:rPr>
            </w:pPr>
            <w:r>
              <w:rPr>
                <w:rFonts w:hint="eastAsia" w:ascii="宋体"/>
                <w:color w:val="auto"/>
                <w:kern w:val="0"/>
                <w:szCs w:val="20"/>
                <w:lang w:val="en-US" w:eastAsia="zh-CN"/>
              </w:rPr>
              <w:t>原材料中</w:t>
            </w:r>
            <w:r>
              <w:rPr>
                <w:rFonts w:hint="eastAsia" w:ascii="宋体"/>
                <w:color w:val="auto"/>
                <w:kern w:val="0"/>
                <w:szCs w:val="20"/>
              </w:rPr>
              <w:t>碳酸盐</w:t>
            </w:r>
            <w:r>
              <w:rPr>
                <w:rFonts w:hint="eastAsia" w:cs="Times New Roman"/>
                <w:i/>
                <w:iCs/>
                <w:color w:val="auto"/>
                <w:kern w:val="0"/>
                <w:szCs w:val="20"/>
                <w:lang w:val="en-US" w:eastAsia="zh-CN"/>
              </w:rPr>
              <w:t>j</w:t>
            </w:r>
            <w:r>
              <w:rPr>
                <w:rFonts w:hint="eastAsia" w:ascii="宋体"/>
                <w:color w:val="auto"/>
                <w:kern w:val="0"/>
                <w:szCs w:val="20"/>
              </w:rPr>
              <w:t>的质量含量，%；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27" w:type="dxa"/>
          </w:tcPr>
          <w:p>
            <w:pPr>
              <w:pStyle w:val="159"/>
              <w:adjustRightInd w:val="0"/>
              <w:snapToGrid w:val="0"/>
              <w:ind w:firstLine="0" w:firstLineChars="0"/>
              <w:rPr>
                <w:rFonts w:ascii="Times New Roman"/>
                <w:iCs/>
                <w:szCs w:val="18"/>
              </w:rPr>
            </w:pPr>
            <w:r>
              <w:rPr>
                <w:rFonts w:hint="eastAsia" w:ascii="宋体"/>
                <w:i/>
                <w:iCs/>
                <w:color w:val="auto"/>
                <w:kern w:val="0"/>
                <w:szCs w:val="20"/>
              </w:rPr>
              <w:t>EF</w:t>
            </w:r>
            <w:r>
              <w:rPr>
                <w:rFonts w:hint="eastAsia" w:ascii="宋体"/>
                <w:i/>
                <w:iCs/>
                <w:color w:val="auto"/>
                <w:kern w:val="0"/>
                <w:szCs w:val="20"/>
                <w:vertAlign w:val="subscript"/>
                <w:lang w:val="en-US" w:eastAsia="zh-CN"/>
              </w:rPr>
              <w:t>碳酸盐</w:t>
            </w:r>
            <w:r>
              <w:rPr>
                <w:rFonts w:hint="eastAsia" w:ascii="宋体"/>
                <w:i/>
                <w:iCs/>
                <w:color w:val="auto"/>
                <w:kern w:val="0"/>
                <w:szCs w:val="20"/>
                <w:vertAlign w:val="subscript"/>
              </w:rPr>
              <w:t>，</w:t>
            </w:r>
            <w:r>
              <w:rPr>
                <w:rFonts w:hint="eastAsia" w:ascii="宋体"/>
                <w:i/>
                <w:iCs/>
                <w:color w:val="auto"/>
                <w:kern w:val="0"/>
                <w:szCs w:val="20"/>
                <w:vertAlign w:val="subscript"/>
                <w:lang w:val="en-US" w:eastAsia="zh-CN"/>
              </w:rPr>
              <w:t>j</w:t>
            </w:r>
          </w:p>
        </w:tc>
        <w:tc>
          <w:tcPr>
            <w:tcW w:w="364"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836" w:type="dxa"/>
          </w:tcPr>
          <w:p>
            <w:pPr>
              <w:pStyle w:val="159"/>
              <w:adjustRightInd w:val="0"/>
              <w:snapToGrid w:val="0"/>
              <w:ind w:left="0" w:leftChars="0" w:firstLine="0" w:firstLineChars="0"/>
              <w:rPr>
                <w:rFonts w:ascii="Times New Roman"/>
                <w:szCs w:val="18"/>
              </w:rPr>
            </w:pPr>
            <w:r>
              <w:rPr>
                <w:rFonts w:hint="eastAsia" w:ascii="宋体"/>
                <w:color w:val="auto"/>
                <w:kern w:val="0"/>
                <w:szCs w:val="20"/>
              </w:rPr>
              <w:t>第</w:t>
            </w:r>
            <w:r>
              <w:rPr>
                <w:rFonts w:hint="eastAsia" w:cs="Times New Roman"/>
                <w:i/>
                <w:iCs/>
                <w:color w:val="auto"/>
                <w:kern w:val="0"/>
                <w:szCs w:val="20"/>
                <w:lang w:val="en-US" w:eastAsia="zh-CN"/>
              </w:rPr>
              <w:t>j</w:t>
            </w:r>
            <w:r>
              <w:rPr>
                <w:rFonts w:hint="eastAsia" w:ascii="宋体"/>
                <w:color w:val="auto"/>
                <w:kern w:val="0"/>
                <w:szCs w:val="20"/>
              </w:rPr>
              <w:t>种碳酸盐排放因子，</w:t>
            </w:r>
            <w:r>
              <w:rPr>
                <w:rFonts w:hint="eastAsia" w:ascii="宋体"/>
                <w:color w:val="auto"/>
                <w:kern w:val="0"/>
                <w:szCs w:val="20"/>
                <w:lang w:val="en-US" w:eastAsia="zh-CN"/>
              </w:rPr>
              <w:t>以</w:t>
            </w:r>
            <w:r>
              <w:rPr>
                <w:rFonts w:hint="eastAsia" w:ascii="宋体"/>
                <w:color w:val="auto"/>
                <w:kern w:val="0"/>
                <w:szCs w:val="20"/>
              </w:rPr>
              <w:t>吨碳每吨（tCO</w:t>
            </w:r>
            <w:r>
              <w:rPr>
                <w:rFonts w:hint="eastAsia" w:ascii="宋体"/>
                <w:color w:val="auto"/>
                <w:kern w:val="0"/>
                <w:szCs w:val="20"/>
                <w:vertAlign w:val="subscript"/>
              </w:rPr>
              <w:t>2</w:t>
            </w:r>
            <w:r>
              <w:rPr>
                <w:rFonts w:hint="eastAsia" w:ascii="宋体"/>
                <w:color w:val="auto"/>
                <w:kern w:val="0"/>
                <w:szCs w:val="20"/>
              </w:rPr>
              <w:t>/t）</w:t>
            </w:r>
            <w:r>
              <w:rPr>
                <w:rFonts w:hint="eastAsia" w:ascii="宋体"/>
                <w:color w:val="auto"/>
                <w:kern w:val="0"/>
                <w:szCs w:val="20"/>
                <w:lang w:val="en-US" w:eastAsia="zh-CN"/>
              </w:rPr>
              <w:t>计</w:t>
            </w:r>
            <w:r>
              <w:rPr>
                <w:rFonts w:hint="eastAsia" w:ascii="宋体"/>
                <w:color w:val="auto"/>
                <w:kern w:val="0"/>
                <w:szCs w:val="2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27" w:type="dxa"/>
          </w:tcPr>
          <w:p>
            <w:pPr>
              <w:pStyle w:val="159"/>
              <w:adjustRightInd w:val="0"/>
              <w:snapToGrid w:val="0"/>
              <w:ind w:firstLine="0" w:firstLineChars="0"/>
              <w:rPr>
                <w:rFonts w:hint="eastAsia" w:ascii="宋体"/>
                <w:i/>
                <w:iCs/>
                <w:color w:val="auto"/>
                <w:kern w:val="0"/>
                <w:szCs w:val="20"/>
              </w:rPr>
            </w:pPr>
            <w:r>
              <w:rPr>
                <w:rFonts w:hint="eastAsia" w:ascii="宋体"/>
                <w:i/>
                <w:iCs/>
                <w:color w:val="auto"/>
                <w:kern w:val="0"/>
                <w:szCs w:val="20"/>
              </w:rPr>
              <w:t>F</w:t>
            </w:r>
            <w:r>
              <w:rPr>
                <w:rFonts w:hint="eastAsia" w:ascii="宋体"/>
                <w:i/>
                <w:iCs/>
                <w:color w:val="auto"/>
                <w:kern w:val="0"/>
                <w:szCs w:val="20"/>
                <w:vertAlign w:val="subscript"/>
                <w:lang w:val="en-US" w:eastAsia="zh-CN"/>
              </w:rPr>
              <w:t>j</w:t>
            </w:r>
          </w:p>
        </w:tc>
        <w:tc>
          <w:tcPr>
            <w:tcW w:w="364"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836" w:type="dxa"/>
          </w:tcPr>
          <w:p>
            <w:pPr>
              <w:pStyle w:val="159"/>
              <w:adjustRightInd w:val="0"/>
              <w:snapToGrid w:val="0"/>
              <w:ind w:left="0" w:leftChars="0" w:firstLine="0" w:firstLineChars="0"/>
              <w:rPr>
                <w:rFonts w:hint="eastAsia"/>
                <w:szCs w:val="18"/>
                <w:lang w:val="en-US" w:eastAsia="zh-CN"/>
              </w:rPr>
            </w:pPr>
            <w:r>
              <w:rPr>
                <w:rFonts w:hint="eastAsia" w:ascii="宋体"/>
                <w:color w:val="auto"/>
                <w:kern w:val="0"/>
                <w:szCs w:val="20"/>
              </w:rPr>
              <w:t>第</w:t>
            </w:r>
            <w:r>
              <w:rPr>
                <w:rFonts w:hint="eastAsia" w:cs="Times New Roman"/>
                <w:i/>
                <w:iCs/>
                <w:color w:val="auto"/>
                <w:kern w:val="0"/>
                <w:szCs w:val="20"/>
                <w:lang w:val="en-US" w:eastAsia="zh-CN"/>
              </w:rPr>
              <w:t>j</w:t>
            </w:r>
            <w:r>
              <w:rPr>
                <w:rFonts w:hint="eastAsia" w:ascii="宋体"/>
                <w:color w:val="auto"/>
                <w:kern w:val="0"/>
                <w:szCs w:val="20"/>
              </w:rPr>
              <w:t>种碳酸盐的煅烧比例，</w:t>
            </w:r>
            <w:r>
              <w:rPr>
                <w:rFonts w:hint="eastAsia"/>
                <w:color w:val="auto"/>
                <w:kern w:val="0"/>
                <w:szCs w:val="20"/>
                <w:lang w:val="en-US" w:eastAsia="zh-CN"/>
              </w:rPr>
              <w:t>%</w:t>
            </w:r>
            <w:r>
              <w:rPr>
                <w:rFonts w:hint="eastAsia"/>
                <w:color w:val="auto"/>
                <w:kern w:val="0"/>
                <w:szCs w:val="20"/>
                <w:lang w:eastAsia="zh-CN"/>
              </w:rPr>
              <w:t>，</w:t>
            </w:r>
            <w:r>
              <w:rPr>
                <w:rFonts w:hint="eastAsia" w:ascii="宋体"/>
                <w:color w:val="auto"/>
                <w:kern w:val="0"/>
                <w:szCs w:val="20"/>
              </w:rPr>
              <w:t>按照100%计算；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27" w:type="dxa"/>
          </w:tcPr>
          <w:p>
            <w:pPr>
              <w:pStyle w:val="159"/>
              <w:adjustRightInd w:val="0"/>
              <w:snapToGrid w:val="0"/>
              <w:ind w:firstLine="0" w:firstLineChars="0"/>
              <w:rPr>
                <w:rFonts w:hint="eastAsia" w:ascii="宋体"/>
                <w:i/>
                <w:iCs/>
                <w:color w:val="auto"/>
                <w:kern w:val="0"/>
                <w:szCs w:val="20"/>
              </w:rPr>
            </w:pPr>
            <w:r>
              <w:rPr>
                <w:rFonts w:hint="eastAsia" w:cs="Times New Roman"/>
                <w:i/>
                <w:iCs/>
                <w:color w:val="auto"/>
                <w:kern w:val="0"/>
                <w:szCs w:val="20"/>
                <w:lang w:val="en-US" w:eastAsia="zh-CN"/>
              </w:rPr>
              <w:t>j</w:t>
            </w:r>
          </w:p>
        </w:tc>
        <w:tc>
          <w:tcPr>
            <w:tcW w:w="364"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836" w:type="dxa"/>
          </w:tcPr>
          <w:p>
            <w:pPr>
              <w:adjustRightInd w:val="0"/>
              <w:snapToGrid w:val="0"/>
              <w:rPr>
                <w:rFonts w:hint="eastAsia"/>
                <w:lang w:val="en-US" w:eastAsia="zh-CN"/>
              </w:rPr>
            </w:pPr>
            <w:r>
              <w:rPr>
                <w:rFonts w:hint="eastAsia" w:ascii="宋体"/>
                <w:color w:val="auto"/>
                <w:kern w:val="0"/>
                <w:szCs w:val="20"/>
              </w:rPr>
              <w:t>碳酸盐的种类编号。</w:t>
            </w:r>
          </w:p>
        </w:tc>
      </w:tr>
    </w:tbl>
    <w:p>
      <w:pPr>
        <w:adjustRightInd w:val="0"/>
        <w:snapToGrid w:val="0"/>
        <w:ind w:firstLine="420" w:firstLineChars="200"/>
        <w:rPr>
          <w:rFonts w:hint="eastAsia" w:ascii="宋体"/>
          <w:color w:val="auto"/>
          <w:kern w:val="0"/>
          <w:szCs w:val="20"/>
        </w:rPr>
      </w:pPr>
    </w:p>
    <w:p>
      <w:pPr>
        <w:pStyle w:val="26"/>
        <w:rPr>
          <w:rFonts w:hint="default" w:ascii="Times New Roman" w:hAnsi="Times New Roman" w:cs="Times New Roman"/>
          <w:lang w:val="en-US" w:eastAsia="zh-CN"/>
        </w:rPr>
      </w:pPr>
      <w:r>
        <w:rPr>
          <w:rFonts w:hint="eastAsia"/>
          <w:lang w:val="en-US" w:eastAsia="zh-CN"/>
        </w:rPr>
        <w:t>碳粉氧化产生的二氧化碳排放量</w:t>
      </w:r>
      <w:r>
        <w:rPr>
          <w:rFonts w:hint="eastAsia" w:ascii="Times New Roman"/>
        </w:rPr>
        <w:t>是核算和报告期内企业</w:t>
      </w:r>
      <w:r>
        <w:rPr>
          <w:rFonts w:hint="eastAsia"/>
          <w:lang w:val="en-US" w:eastAsia="zh-CN"/>
        </w:rPr>
        <w:t>碳粉在高温下</w:t>
      </w:r>
      <w:r>
        <w:rPr>
          <w:rFonts w:hint="default" w:ascii="Times New Roman" w:hAnsi="Times New Roman" w:cs="Times New Roman"/>
          <w:lang w:val="en-US" w:eastAsia="zh-CN"/>
        </w:rPr>
        <w:t>氧化产生的碳排放量：</w:t>
      </w:r>
    </w:p>
    <w:p>
      <w:pPr>
        <w:pStyle w:val="26"/>
        <w:rPr>
          <w:rFonts w:hint="default" w:ascii="Times New Roman" w:hAnsi="Times New Roman" w:cs="Times New Roman"/>
          <w:lang w:val="en-US" w:eastAsia="zh-CN"/>
        </w:rPr>
      </w:pPr>
    </w:p>
    <w:p>
      <w:pPr>
        <w:pStyle w:val="26"/>
        <w:ind w:firstLine="2268" w:firstLineChars="1080"/>
        <w:rPr>
          <w:rFonts w:ascii="Times New Roman"/>
        </w:rPr>
      </w:pPr>
      <w:r>
        <w:rPr>
          <w:rFonts w:ascii="宋体"/>
          <w:color w:val="auto"/>
          <w:kern w:val="0"/>
          <w:position w:val="-24"/>
          <w:szCs w:val="20"/>
        </w:rPr>
        <w:object>
          <v:shape id="_x0000_i1027" o:spt="75" type="#_x0000_t75" style="height:31pt;width:99.3pt;" o:ole="t" filled="f" o:preferrelative="t" stroked="f" coordsize="21600,21600">
            <v:path/>
            <v:fill on="f" focussize="0,0"/>
            <v:stroke on="f"/>
            <v:imagedata r:id="rId28" o:title=""/>
            <o:lock v:ext="edit" aspectratio="t"/>
            <w10:wrap type="none"/>
            <w10:anchorlock/>
          </v:shape>
          <o:OLEObject Type="Embed" ProgID="Equation.3" ShapeID="_x0000_i1027" DrawAspect="Content" ObjectID="_1468075727" r:id="rId27">
            <o:LockedField>false</o:LockedField>
          </o:OLEObject>
        </w:object>
      </w:r>
      <w:r>
        <w:rPr>
          <w:rFonts w:ascii="Times New Roman"/>
        </w:rPr>
        <w:t xml:space="preserve"> </w:t>
      </w:r>
      <w:r>
        <w:rPr>
          <w:rFonts w:hint="eastAsia" w:ascii="Times New Roman"/>
          <w:vertAlign w:val="subscript"/>
        </w:rPr>
        <w:t>··············································</w:t>
      </w:r>
      <w:r>
        <w:rPr>
          <w:rFonts w:hint="eastAsia" w:ascii="Times New Roman"/>
        </w:rPr>
        <w:t>（</w:t>
      </w:r>
      <w:r>
        <w:rPr>
          <w:rFonts w:hint="eastAsia" w:ascii="Times New Roman"/>
          <w:lang w:val="en-US" w:eastAsia="zh-CN"/>
        </w:rPr>
        <w:t>6</w:t>
      </w:r>
      <w:r>
        <w:rPr>
          <w:rFonts w:hint="eastAsia" w:ascii="Times New Roman"/>
        </w:rPr>
        <w:t>）</w:t>
      </w:r>
    </w:p>
    <w:p>
      <w:pPr>
        <w:pStyle w:val="26"/>
        <w:rPr>
          <w:rFonts w:hint="eastAsia" w:ascii="Times New Roman"/>
        </w:rPr>
      </w:pPr>
      <w:r>
        <w:rPr>
          <w:rFonts w:hint="eastAsia" w:ascii="Times New Roman"/>
        </w:rPr>
        <w:t>式中：</w:t>
      </w:r>
    </w:p>
    <w:tbl>
      <w:tblPr>
        <w:tblStyle w:val="39"/>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7"/>
        <w:gridCol w:w="364"/>
        <w:gridCol w:w="78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27" w:type="dxa"/>
            <w:vAlign w:val="top"/>
          </w:tcPr>
          <w:p>
            <w:pPr>
              <w:pStyle w:val="159"/>
              <w:adjustRightInd w:val="0"/>
              <w:snapToGrid w:val="0"/>
              <w:ind w:firstLine="0" w:firstLineChars="0"/>
              <w:rPr>
                <w:rFonts w:ascii="Cambria Math" w:hAnsi="Cambria Math"/>
                <w:i/>
                <w:szCs w:val="18"/>
                <w:oMath/>
              </w:rPr>
            </w:pPr>
            <w:r>
              <w:rPr>
                <w:rFonts w:ascii="宋体"/>
                <w:color w:val="auto"/>
                <w:kern w:val="0"/>
                <w:position w:val="-12"/>
                <w:szCs w:val="20"/>
              </w:rPr>
              <w:object>
                <v:shape id="_x0000_i1028" o:spt="75" type="#_x0000_t75" style="height:18pt;width:15.05pt;" o:ole="t" filled="f" o:preferrelative="t" stroked="f" coordsize="21600,21600">
                  <v:path/>
                  <v:fill on="f" focussize="0,0"/>
                  <v:stroke on="f"/>
                  <v:imagedata r:id="rId30" o:title=""/>
                  <o:lock v:ext="edit" aspectratio="t"/>
                  <w10:wrap type="none"/>
                  <w10:anchorlock/>
                </v:shape>
                <o:OLEObject Type="Embed" ProgID="Equation.3" ShapeID="_x0000_i1028" DrawAspect="Content" ObjectID="_1468075728" r:id="rId29">
                  <o:LockedField>false</o:LockedField>
                </o:OLEObject>
              </w:object>
            </w:r>
          </w:p>
        </w:tc>
        <w:tc>
          <w:tcPr>
            <w:tcW w:w="364" w:type="dxa"/>
            <w:vAlign w:val="top"/>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836" w:type="dxa"/>
            <w:vAlign w:val="top"/>
          </w:tcPr>
          <w:p>
            <w:pPr>
              <w:pStyle w:val="159"/>
              <w:adjustRightInd w:val="0"/>
              <w:snapToGrid w:val="0"/>
              <w:ind w:left="0" w:leftChars="0" w:firstLine="0" w:firstLineChars="0"/>
              <w:rPr>
                <w:rFonts w:ascii="Times New Roman"/>
                <w:szCs w:val="18"/>
              </w:rPr>
            </w:pPr>
            <w:r>
              <w:rPr>
                <w:rFonts w:hint="eastAsia" w:ascii="Times New Roman"/>
                <w:szCs w:val="18"/>
              </w:rPr>
              <w:t>核算和报告期内消耗</w:t>
            </w:r>
            <w:r>
              <w:rPr>
                <w:rFonts w:hint="eastAsia" w:ascii="Times New Roman"/>
                <w:szCs w:val="18"/>
                <w:lang w:val="en-US" w:eastAsia="zh-CN"/>
              </w:rPr>
              <w:t>碳粉</w:t>
            </w:r>
            <w:r>
              <w:rPr>
                <w:rFonts w:hint="eastAsia" w:ascii="Times New Roman"/>
                <w:szCs w:val="18"/>
              </w:rPr>
              <w:t>的总质量，单位为吨（</w:t>
            </w:r>
            <w:r>
              <w:rPr>
                <w:rFonts w:ascii="Times New Roman"/>
                <w:szCs w:val="18"/>
              </w:rPr>
              <w:t>t</w:t>
            </w:r>
            <w:r>
              <w:rPr>
                <w:rFonts w:hint="eastAsia"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27" w:type="dxa"/>
          </w:tcPr>
          <w:p>
            <w:pPr>
              <w:pStyle w:val="159"/>
              <w:adjustRightInd w:val="0"/>
              <w:snapToGrid w:val="0"/>
              <w:ind w:firstLine="0" w:firstLineChars="0"/>
              <w:rPr>
                <w:rFonts w:ascii="Times New Roman"/>
                <w:szCs w:val="18"/>
              </w:rPr>
            </w:pPr>
            <w:r>
              <w:rPr>
                <w:rFonts w:ascii="宋体"/>
                <w:color w:val="auto"/>
                <w:kern w:val="0"/>
                <w:position w:val="-12"/>
                <w:szCs w:val="20"/>
              </w:rPr>
              <w:object>
                <v:shape id="_x0000_i1029" o:spt="75" type="#_x0000_t75" style="height:18pt;width:15.05pt;" o:ole="t" filled="f" o:preferrelative="t" stroked="f" coordsize="21600,21600">
                  <v:path/>
                  <v:fill on="f" focussize="0,0"/>
                  <v:stroke on="f"/>
                  <v:imagedata r:id="rId32" o:title=""/>
                  <o:lock v:ext="edit" aspectratio="t"/>
                  <w10:wrap type="none"/>
                  <w10:anchorlock/>
                </v:shape>
                <o:OLEObject Type="Embed" ProgID="Equation.3" ShapeID="_x0000_i1029" DrawAspect="Content" ObjectID="_1468075729" r:id="rId31">
                  <o:LockedField>false</o:LockedField>
                </o:OLEObject>
              </w:object>
            </w:r>
          </w:p>
        </w:tc>
        <w:tc>
          <w:tcPr>
            <w:tcW w:w="364"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836" w:type="dxa"/>
          </w:tcPr>
          <w:p>
            <w:pPr>
              <w:adjustRightInd w:val="0"/>
              <w:snapToGrid w:val="0"/>
              <w:rPr>
                <w:rFonts w:ascii="Times New Roman"/>
                <w:szCs w:val="18"/>
              </w:rPr>
            </w:pPr>
            <w:r>
              <w:rPr>
                <w:rFonts w:hint="eastAsia" w:ascii="Times New Roman"/>
              </w:rPr>
              <w:t>碳粉含碳量的加权平均值，</w:t>
            </w:r>
            <w:r>
              <w:rPr>
                <w:rFonts w:ascii="Times New Roman"/>
              </w:rPr>
              <w:t>%</w:t>
            </w:r>
            <w:r>
              <w:rPr>
                <w:rFonts w:hint="eastAsia"/>
                <w:lang w:eastAsia="zh-CN"/>
              </w:rPr>
              <w:t>，</w:t>
            </w:r>
            <w:r>
              <w:rPr>
                <w:rFonts w:hint="eastAsia" w:ascii="Times New Roman"/>
                <w:lang w:val="en-US" w:eastAsia="zh-CN"/>
              </w:rPr>
              <w:t>采用供应商数据，不可获取时</w:t>
            </w:r>
            <w:r>
              <w:rPr>
                <w:rFonts w:hint="eastAsia" w:ascii="宋体"/>
                <w:color w:val="auto"/>
                <w:kern w:val="0"/>
                <w:szCs w:val="20"/>
              </w:rPr>
              <w:t>按照100%计算</w:t>
            </w:r>
            <w:r>
              <w:rPr>
                <w:rFonts w:hint="eastAsia"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27" w:type="dxa"/>
          </w:tcPr>
          <w:p>
            <w:pPr>
              <w:pStyle w:val="159"/>
              <w:adjustRightInd w:val="0"/>
              <w:snapToGrid w:val="0"/>
              <w:ind w:firstLine="0" w:firstLineChars="0"/>
              <w:rPr>
                <w:rFonts w:ascii="Times New Roman"/>
                <w:iCs/>
                <w:szCs w:val="18"/>
              </w:rPr>
            </w:pPr>
            <w:r>
              <w:rPr>
                <w:rFonts w:ascii="Times New Roman"/>
                <w:position w:val="-24"/>
                <w:szCs w:val="18"/>
              </w:rPr>
              <w:object>
                <v:shape id="_x0000_i1030" o:spt="75" type="#_x0000_t75" style="height:29.55pt;width:24.15pt;" o:ole="t" filled="f" o:preferrelative="t" stroked="f" coordsize="21600,21600">
                  <v:path/>
                  <v:fill on="f" focussize="0,0"/>
                  <v:stroke on="f" joinstyle="miter"/>
                  <v:imagedata r:id="rId34" o:title=""/>
                  <o:lock v:ext="edit" aspectratio="t"/>
                  <w10:wrap type="none"/>
                  <w10:anchorlock/>
                </v:shape>
                <o:OLEObject Type="Embed" ProgID="Equation.3" ShapeID="_x0000_i1030" DrawAspect="Content" ObjectID="_1468075730" r:id="rId33">
                  <o:LockedField>false</o:LockedField>
                </o:OLEObject>
              </w:object>
            </w:r>
          </w:p>
        </w:tc>
        <w:tc>
          <w:tcPr>
            <w:tcW w:w="364" w:type="dxa"/>
            <w:vAlign w:val="center"/>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836" w:type="dxa"/>
            <w:vAlign w:val="center"/>
          </w:tcPr>
          <w:p>
            <w:pPr>
              <w:pStyle w:val="159"/>
              <w:adjustRightInd w:val="0"/>
              <w:snapToGrid w:val="0"/>
              <w:ind w:left="0" w:leftChars="0" w:firstLine="0" w:firstLineChars="0"/>
              <w:rPr>
                <w:rFonts w:ascii="Times New Roman"/>
                <w:szCs w:val="18"/>
              </w:rPr>
            </w:pPr>
            <w:r>
              <w:rPr>
                <w:rFonts w:hint="eastAsia" w:ascii="Times New Roman"/>
                <w:szCs w:val="18"/>
              </w:rPr>
              <w:t>二氧化碳与碳的分子量之比。</w:t>
            </w:r>
          </w:p>
        </w:tc>
      </w:tr>
    </w:tbl>
    <w:p>
      <w:pPr>
        <w:adjustRightInd w:val="0"/>
        <w:snapToGrid w:val="0"/>
        <w:rPr>
          <w:rFonts w:hint="eastAsia" w:ascii="宋体"/>
          <w:color w:val="auto"/>
          <w:kern w:val="0"/>
          <w:szCs w:val="20"/>
        </w:rPr>
      </w:pPr>
    </w:p>
    <w:p>
      <w:pPr>
        <w:pStyle w:val="60"/>
        <w:bidi w:val="0"/>
        <w:ind w:left="0" w:leftChars="0" w:firstLine="0" w:firstLineChars="0"/>
        <w:rPr>
          <w:rFonts w:hint="eastAsia"/>
          <w:lang w:val="en-US" w:eastAsia="zh-CN"/>
        </w:rPr>
      </w:pPr>
      <w:r>
        <w:rPr>
          <w:rFonts w:hint="eastAsia"/>
          <w:lang w:val="en-US" w:eastAsia="zh-CN"/>
        </w:rPr>
        <w:t>数据的监测与获取</w:t>
      </w:r>
    </w:p>
    <w:p>
      <w:pPr>
        <w:pStyle w:val="65"/>
        <w:bidi w:val="0"/>
        <w:ind w:left="0" w:leftChars="0" w:firstLine="0" w:firstLineChars="0"/>
        <w:rPr>
          <w:rFonts w:hint="default" w:hAnsi="Times New Roman" w:cs="Times New Roman"/>
          <w:highlight w:val="none"/>
          <w:lang w:val="en-US" w:eastAsia="zh-CN"/>
        </w:rPr>
      </w:pPr>
      <w:r>
        <w:rPr>
          <w:rFonts w:hint="eastAsia" w:hAnsi="Times New Roman" w:cs="Times New Roman"/>
          <w:highlight w:val="none"/>
          <w:lang w:val="en-US" w:eastAsia="zh-CN"/>
        </w:rPr>
        <w:t>原</w:t>
      </w:r>
      <w:r>
        <w:rPr>
          <w:rFonts w:hint="eastAsia" w:cs="Times New Roman"/>
          <w:highlight w:val="none"/>
          <w:lang w:val="en-US" w:eastAsia="zh-CN"/>
        </w:rPr>
        <w:t>材料</w:t>
      </w:r>
      <w:r>
        <w:rPr>
          <w:rFonts w:hint="eastAsia" w:hAnsi="Times New Roman" w:cs="Times New Roman"/>
          <w:highlight w:val="none"/>
          <w:lang w:val="en-US" w:eastAsia="zh-CN"/>
        </w:rPr>
        <w:t>消耗量</w:t>
      </w:r>
    </w:p>
    <w:p>
      <w:pPr>
        <w:pStyle w:val="26"/>
        <w:rPr>
          <w:rFonts w:ascii="Times New Roman"/>
        </w:rPr>
      </w:pPr>
      <w:r>
        <w:rPr>
          <w:rFonts w:ascii="Times New Roman"/>
        </w:rPr>
        <w:t>企业</w:t>
      </w:r>
      <w:r>
        <w:rPr>
          <w:rFonts w:hint="eastAsia" w:ascii="Times New Roman"/>
          <w:lang w:val="en-US" w:eastAsia="zh-CN"/>
        </w:rPr>
        <w:t>原材料消耗量的计量器具应满足GB/T 7721、GB/T 23111、GB/T 27738等标准要求</w:t>
      </w:r>
      <w:r>
        <w:rPr>
          <w:rFonts w:ascii="Times New Roman"/>
        </w:rPr>
        <w:t>，</w:t>
      </w:r>
      <w:r>
        <w:rPr>
          <w:rFonts w:hint="eastAsia" w:ascii="Times New Roman"/>
          <w:lang w:val="en-US" w:eastAsia="zh-CN"/>
        </w:rPr>
        <w:t>原材料消耗量</w:t>
      </w:r>
      <w:r>
        <w:rPr>
          <w:rFonts w:ascii="Times New Roman"/>
        </w:rPr>
        <w:t>的计量要求见表</w:t>
      </w:r>
      <w:r>
        <w:rPr>
          <w:rFonts w:hint="eastAsia" w:ascii="Times New Roman"/>
          <w:lang w:val="en-US" w:eastAsia="zh-CN"/>
        </w:rPr>
        <w:t>1</w:t>
      </w:r>
      <w:r>
        <w:rPr>
          <w:rFonts w:ascii="Times New Roman"/>
        </w:rPr>
        <w:t>。</w:t>
      </w:r>
    </w:p>
    <w:p>
      <w:pPr>
        <w:pStyle w:val="168"/>
        <w:spacing w:before="156" w:after="156"/>
        <w:rPr>
          <w:rFonts w:ascii="Times New Roman"/>
        </w:rPr>
      </w:pPr>
      <w:r>
        <w:rPr>
          <w:rFonts w:hint="eastAsia" w:ascii="Times New Roman"/>
          <w:lang w:val="en-US" w:eastAsia="zh-CN"/>
        </w:rPr>
        <w:t>原材料消耗量</w:t>
      </w:r>
      <w:r>
        <w:rPr>
          <w:rFonts w:ascii="Times New Roman"/>
        </w:rPr>
        <w:t>计量要求</w:t>
      </w:r>
    </w:p>
    <w:tbl>
      <w:tblPr>
        <w:tblStyle w:val="38"/>
        <w:tblW w:w="493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3"/>
        <w:gridCol w:w="1867"/>
        <w:gridCol w:w="1144"/>
        <w:gridCol w:w="1119"/>
        <w:gridCol w:w="1325"/>
        <w:gridCol w:w="1176"/>
        <w:gridCol w:w="658"/>
        <w:gridCol w:w="13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572"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b/>
                <w:bCs/>
                <w:sz w:val="18"/>
                <w:szCs w:val="18"/>
              </w:rPr>
            </w:pPr>
            <w:r>
              <w:rPr>
                <w:rFonts w:hint="eastAsia" w:ascii="Times New Roman" w:cs="Times New Roman"/>
                <w:b/>
                <w:bCs/>
                <w:sz w:val="18"/>
                <w:szCs w:val="18"/>
                <w:lang w:val="en-US" w:eastAsia="zh-CN"/>
              </w:rPr>
              <w:t>原料</w:t>
            </w:r>
            <w:r>
              <w:rPr>
                <w:rFonts w:hint="default" w:ascii="Times New Roman" w:hAnsi="Times New Roman" w:cs="Times New Roman"/>
                <w:b/>
                <w:bCs/>
                <w:sz w:val="18"/>
                <w:szCs w:val="18"/>
              </w:rPr>
              <w:t>类型</w:t>
            </w:r>
          </w:p>
        </w:tc>
        <w:tc>
          <w:tcPr>
            <w:tcW w:w="959"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计量器具</w:t>
            </w:r>
          </w:p>
        </w:tc>
        <w:tc>
          <w:tcPr>
            <w:tcW w:w="588"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准确度等级</w:t>
            </w:r>
          </w:p>
        </w:tc>
        <w:tc>
          <w:tcPr>
            <w:tcW w:w="575"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计量设备</w:t>
            </w:r>
          </w:p>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溯源方式</w:t>
            </w:r>
          </w:p>
        </w:tc>
        <w:tc>
          <w:tcPr>
            <w:tcW w:w="681"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溯源</w:t>
            </w:r>
          </w:p>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频次</w:t>
            </w:r>
          </w:p>
        </w:tc>
        <w:tc>
          <w:tcPr>
            <w:tcW w:w="604"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计量</w:t>
            </w:r>
          </w:p>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频次</w:t>
            </w:r>
          </w:p>
        </w:tc>
        <w:tc>
          <w:tcPr>
            <w:tcW w:w="338"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记录</w:t>
            </w:r>
          </w:p>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频次</w:t>
            </w:r>
          </w:p>
        </w:tc>
        <w:tc>
          <w:tcPr>
            <w:tcW w:w="679"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安装位置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572" w:type="pct"/>
            <w:vMerge w:val="restar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rPr>
            </w:pPr>
            <w:r>
              <w:rPr>
                <w:rFonts w:hint="eastAsia" w:ascii="Times New Roman" w:cs="Times New Roman"/>
                <w:sz w:val="18"/>
                <w:szCs w:val="18"/>
                <w:lang w:val="en-US" w:eastAsia="zh-CN"/>
              </w:rPr>
              <w:t>碳酸盐原料</w:t>
            </w:r>
          </w:p>
        </w:tc>
        <w:tc>
          <w:tcPr>
            <w:tcW w:w="959"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rPr>
            </w:pPr>
            <w:r>
              <w:rPr>
                <w:rFonts w:hint="eastAsia" w:ascii="Times New Roman" w:cs="Times New Roman"/>
                <w:sz w:val="18"/>
                <w:szCs w:val="18"/>
                <w:lang w:val="en-US" w:eastAsia="zh-CN"/>
              </w:rPr>
              <w:t>非自动衡器</w:t>
            </w:r>
          </w:p>
        </w:tc>
        <w:tc>
          <w:tcPr>
            <w:tcW w:w="588"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w:t>
            </w:r>
          </w:p>
        </w:tc>
        <w:tc>
          <w:tcPr>
            <w:tcW w:w="575"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检定</w:t>
            </w:r>
          </w:p>
        </w:tc>
        <w:tc>
          <w:tcPr>
            <w:tcW w:w="681"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1次/12个月</w:t>
            </w:r>
          </w:p>
        </w:tc>
        <w:tc>
          <w:tcPr>
            <w:tcW w:w="604"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每批</w:t>
            </w:r>
          </w:p>
        </w:tc>
        <w:tc>
          <w:tcPr>
            <w:tcW w:w="338"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每批</w:t>
            </w:r>
          </w:p>
        </w:tc>
        <w:tc>
          <w:tcPr>
            <w:tcW w:w="679" w:type="pct"/>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 w:hRule="atLeast"/>
          <w:jc w:val="center"/>
        </w:trPr>
        <w:tc>
          <w:tcPr>
            <w:tcW w:w="572" w:type="pct"/>
            <w:vMerge w:val="continue"/>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p>
        </w:tc>
        <w:tc>
          <w:tcPr>
            <w:tcW w:w="959"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rPr>
            </w:pPr>
            <w:r>
              <w:rPr>
                <w:rFonts w:hint="eastAsia" w:ascii="Times New Roman" w:cs="Times New Roman"/>
                <w:sz w:val="18"/>
                <w:szCs w:val="18"/>
                <w:lang w:val="en-US" w:eastAsia="zh-CN"/>
              </w:rPr>
              <w:t>连续累计自动衡器</w:t>
            </w:r>
          </w:p>
        </w:tc>
        <w:tc>
          <w:tcPr>
            <w:tcW w:w="588"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Times New Roman" w:hAnsi="Times New Roman" w:eastAsia="宋体" w:cs="Times New Roman"/>
                <w:sz w:val="18"/>
                <w:szCs w:val="18"/>
                <w:lang w:val="en-US" w:eastAsia="zh-CN"/>
              </w:rPr>
            </w:pPr>
            <w:r>
              <w:rPr>
                <w:rFonts w:hint="default" w:ascii="Times New Roman" w:hAnsi="Times New Roman" w:cs="Times New Roman"/>
                <w:sz w:val="18"/>
                <w:szCs w:val="18"/>
              </w:rPr>
              <w:t>0.</w:t>
            </w:r>
            <w:r>
              <w:rPr>
                <w:rFonts w:hint="eastAsia" w:ascii="Times New Roman" w:cs="Times New Roman"/>
                <w:sz w:val="18"/>
                <w:szCs w:val="18"/>
                <w:lang w:val="en-US" w:eastAsia="zh-CN"/>
              </w:rPr>
              <w:t>2</w:t>
            </w:r>
          </w:p>
        </w:tc>
        <w:tc>
          <w:tcPr>
            <w:tcW w:w="575"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检定</w:t>
            </w:r>
          </w:p>
        </w:tc>
        <w:tc>
          <w:tcPr>
            <w:tcW w:w="681"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1次/12个月</w:t>
            </w:r>
          </w:p>
        </w:tc>
        <w:tc>
          <w:tcPr>
            <w:tcW w:w="604"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连续</w:t>
            </w:r>
          </w:p>
        </w:tc>
        <w:tc>
          <w:tcPr>
            <w:tcW w:w="338"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每月</w:t>
            </w:r>
          </w:p>
        </w:tc>
        <w:tc>
          <w:tcPr>
            <w:tcW w:w="679" w:type="pct"/>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rPr>
            </w:pPr>
            <w:r>
              <w:rPr>
                <w:rFonts w:hint="eastAsia" w:ascii="Times New Roman" w:cs="Times New Roman"/>
                <w:sz w:val="18"/>
                <w:szCs w:val="18"/>
                <w:lang w:val="en-US" w:eastAsia="zh-CN"/>
              </w:rPr>
              <w:t>配料系统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72" w:type="pct"/>
            <w:vMerge w:val="restar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Times New Roman" w:hAnsi="Times New Roman" w:eastAsia="宋体" w:cs="Times New Roman"/>
                <w:sz w:val="18"/>
                <w:szCs w:val="18"/>
                <w:lang w:val="en-US" w:eastAsia="zh-CN"/>
              </w:rPr>
            </w:pPr>
            <w:r>
              <w:rPr>
                <w:rFonts w:hint="eastAsia" w:ascii="Times New Roman" w:cs="Times New Roman"/>
                <w:sz w:val="18"/>
                <w:szCs w:val="18"/>
                <w:lang w:val="en-US" w:eastAsia="zh-CN"/>
              </w:rPr>
              <w:t>碳粉</w:t>
            </w:r>
          </w:p>
        </w:tc>
        <w:tc>
          <w:tcPr>
            <w:tcW w:w="959"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eastAsia" w:ascii="Times New Roman" w:cs="Times New Roman"/>
                <w:sz w:val="18"/>
                <w:szCs w:val="18"/>
                <w:lang w:val="en-US" w:eastAsia="zh-CN"/>
              </w:rPr>
              <w:t>非自动衡器</w:t>
            </w:r>
          </w:p>
        </w:tc>
        <w:tc>
          <w:tcPr>
            <w:tcW w:w="588"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rPr>
            </w:pPr>
            <w:r>
              <w:rPr>
                <w:rFonts w:hint="eastAsia" w:ascii="Times New Roman" w:cs="Times New Roman"/>
                <w:sz w:val="18"/>
                <w:szCs w:val="18"/>
                <w:lang w:val="en-US" w:eastAsia="zh-CN"/>
              </w:rPr>
              <w:t>0.1</w:t>
            </w:r>
          </w:p>
        </w:tc>
        <w:tc>
          <w:tcPr>
            <w:tcW w:w="1131" w:type="dxa"/>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检定</w:t>
            </w:r>
          </w:p>
        </w:tc>
        <w:tc>
          <w:tcPr>
            <w:tcW w:w="1340" w:type="dxa"/>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1次/12个月</w:t>
            </w:r>
          </w:p>
        </w:tc>
        <w:tc>
          <w:tcPr>
            <w:tcW w:w="1189" w:type="dxa"/>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每批</w:t>
            </w:r>
          </w:p>
        </w:tc>
        <w:tc>
          <w:tcPr>
            <w:tcW w:w="665" w:type="dxa"/>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每批</w:t>
            </w:r>
          </w:p>
        </w:tc>
        <w:tc>
          <w:tcPr>
            <w:tcW w:w="679"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72" w:type="pct"/>
            <w:vMerge w:val="continue"/>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Times New Roman" w:cs="Times New Roman"/>
                <w:sz w:val="18"/>
                <w:szCs w:val="18"/>
                <w:lang w:val="en-US" w:eastAsia="zh-CN"/>
              </w:rPr>
            </w:pPr>
          </w:p>
        </w:tc>
        <w:tc>
          <w:tcPr>
            <w:tcW w:w="959"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eastAsia" w:ascii="Times New Roman" w:cs="Times New Roman"/>
                <w:sz w:val="18"/>
                <w:szCs w:val="18"/>
                <w:lang w:val="en-US" w:eastAsia="zh-CN"/>
              </w:rPr>
              <w:t>连续累计自动衡器</w:t>
            </w:r>
          </w:p>
        </w:tc>
        <w:tc>
          <w:tcPr>
            <w:tcW w:w="588"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rPr>
            </w:pPr>
            <w:r>
              <w:rPr>
                <w:rFonts w:hint="eastAsia" w:ascii="Times New Roman" w:cs="Times New Roman"/>
                <w:sz w:val="18"/>
                <w:szCs w:val="18"/>
                <w:lang w:val="en-US" w:eastAsia="zh-CN"/>
              </w:rPr>
              <w:t>0.2</w:t>
            </w:r>
          </w:p>
        </w:tc>
        <w:tc>
          <w:tcPr>
            <w:tcW w:w="575"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检定</w:t>
            </w:r>
          </w:p>
        </w:tc>
        <w:tc>
          <w:tcPr>
            <w:tcW w:w="681"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1次/12个月</w:t>
            </w:r>
          </w:p>
        </w:tc>
        <w:tc>
          <w:tcPr>
            <w:tcW w:w="604"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连续</w:t>
            </w:r>
          </w:p>
        </w:tc>
        <w:tc>
          <w:tcPr>
            <w:tcW w:w="338"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每月</w:t>
            </w:r>
          </w:p>
        </w:tc>
        <w:tc>
          <w:tcPr>
            <w:tcW w:w="679" w:type="pct"/>
            <w:vAlign w:val="center"/>
          </w:tcPr>
          <w:p>
            <w:pPr>
              <w:pStyle w:val="156"/>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cs="Times New Roman"/>
                <w:sz w:val="18"/>
                <w:szCs w:val="18"/>
              </w:rPr>
            </w:pPr>
            <w:r>
              <w:rPr>
                <w:rFonts w:hint="eastAsia" w:ascii="Times New Roman" w:cs="Times New Roman"/>
                <w:sz w:val="18"/>
                <w:szCs w:val="18"/>
                <w:lang w:val="en-US" w:eastAsia="zh-CN"/>
              </w:rPr>
              <w:t>配料系统</w:t>
            </w:r>
          </w:p>
        </w:tc>
      </w:tr>
    </w:tbl>
    <w:p>
      <w:pPr>
        <w:pStyle w:val="26"/>
        <w:rPr>
          <w:rFonts w:hint="default" w:ascii="Times New Roman" w:hAnsi="Times New Roman" w:cs="Times New Roman"/>
          <w:highlight w:val="none"/>
          <w:lang w:val="en-US" w:eastAsia="zh-CN"/>
        </w:rPr>
      </w:pPr>
    </w:p>
    <w:p>
      <w:pPr>
        <w:pStyle w:val="26"/>
        <w:rPr>
          <w:rFonts w:hint="eastAsia" w:ascii="Times New Roman" w:hAnsi="Times New Roman" w:eastAsia="宋体" w:cs="Times New Roman"/>
          <w:highlight w:val="none"/>
          <w:lang w:val="en-US" w:eastAsia="zh-CN"/>
        </w:rPr>
      </w:pPr>
      <w:r>
        <w:rPr>
          <w:rFonts w:hint="default" w:ascii="Times New Roman" w:hAnsi="Times New Roman" w:cs="Times New Roman"/>
        </w:rPr>
        <w:t>根据核算和报告期内各种</w:t>
      </w:r>
      <w:r>
        <w:rPr>
          <w:rFonts w:hint="eastAsia" w:ascii="Times New Roman" w:cs="Times New Roman"/>
          <w:lang w:val="en-US" w:eastAsia="zh-CN"/>
        </w:rPr>
        <w:t>原料</w:t>
      </w:r>
      <w:r>
        <w:rPr>
          <w:rFonts w:hint="default" w:ascii="Times New Roman" w:hAnsi="Times New Roman" w:cs="Times New Roman"/>
        </w:rPr>
        <w:t>的</w:t>
      </w:r>
      <w:r>
        <w:rPr>
          <w:rFonts w:hint="default" w:ascii="Times New Roman" w:hAnsi="Times New Roman" w:cs="Times New Roman"/>
          <w:lang w:val="en-US" w:eastAsia="zh-CN"/>
        </w:rPr>
        <w:t>皮带秤、电子汽车衡、</w:t>
      </w:r>
      <w:r>
        <w:rPr>
          <w:rFonts w:hint="eastAsia" w:ascii="Times New Roman" w:cs="Times New Roman"/>
          <w:lang w:val="en-US" w:eastAsia="zh-CN"/>
        </w:rPr>
        <w:t>失重秤等</w:t>
      </w:r>
      <w:r>
        <w:rPr>
          <w:rFonts w:hint="default" w:ascii="Times New Roman" w:hAnsi="Times New Roman" w:cs="Times New Roman"/>
        </w:rPr>
        <w:t>计量数据来确定</w:t>
      </w:r>
      <w:r>
        <w:rPr>
          <w:rFonts w:hint="eastAsia" w:ascii="Times New Roman" w:cs="Times New Roman"/>
          <w:lang w:val="en-US" w:eastAsia="zh-CN"/>
        </w:rPr>
        <w:t>碳酸盐原料及碳粉</w:t>
      </w:r>
      <w:r>
        <w:rPr>
          <w:rFonts w:hint="default" w:ascii="Times New Roman" w:hAnsi="Times New Roman" w:cs="Times New Roman"/>
        </w:rPr>
        <w:t xml:space="preserve">的消耗量。计量器具应确保在有效的检定/校准周期内，由有资质的机构至少每年进行检定/校准，并符合JJG </w:t>
      </w:r>
      <w:r>
        <w:rPr>
          <w:rFonts w:hint="default" w:ascii="Times New Roman" w:hAnsi="Times New Roman" w:cs="Times New Roman"/>
          <w:lang w:val="en-US" w:eastAsia="zh-CN"/>
        </w:rPr>
        <w:t>195</w:t>
      </w:r>
      <w:r>
        <w:rPr>
          <w:rFonts w:hint="default" w:ascii="Times New Roman" w:hAnsi="Times New Roman" w:cs="Times New Roman"/>
        </w:rPr>
        <w:t>、</w:t>
      </w:r>
      <w:r>
        <w:rPr>
          <w:rFonts w:hint="eastAsia" w:ascii="Times New Roman"/>
          <w:szCs w:val="21"/>
        </w:rPr>
        <w:t>JJG 564</w:t>
      </w:r>
      <w:r>
        <w:rPr>
          <w:rFonts w:hint="eastAsia" w:ascii="Times New Roman"/>
          <w:szCs w:val="21"/>
          <w:lang w:eastAsia="zh-CN"/>
        </w:rPr>
        <w:t>、</w:t>
      </w:r>
      <w:r>
        <w:rPr>
          <w:rFonts w:hint="default" w:ascii="Times New Roman" w:hAnsi="Times New Roman" w:cs="Times New Roman"/>
        </w:rPr>
        <w:t>JJG 1118等规程的要求</w:t>
      </w:r>
      <w:r>
        <w:rPr>
          <w:rFonts w:hint="eastAsia" w:ascii="Times New Roman" w:cs="Times New Roman"/>
          <w:lang w:eastAsia="zh-CN"/>
        </w:rPr>
        <w:t>。</w:t>
      </w:r>
    </w:p>
    <w:p>
      <w:pPr>
        <w:pStyle w:val="65"/>
        <w:bidi w:val="0"/>
        <w:ind w:left="0" w:leftChars="0" w:firstLine="0" w:firstLineChars="0"/>
        <w:rPr>
          <w:rFonts w:hint="default" w:ascii="Times New Roman" w:hAnsi="Times New Roman" w:cs="Times New Roman"/>
          <w:highlight w:val="none"/>
          <w:lang w:val="en-US" w:eastAsia="zh-CN"/>
        </w:rPr>
      </w:pPr>
      <w:r>
        <w:rPr>
          <w:rFonts w:hint="eastAsia" w:ascii="Times New Roman" w:cs="Times New Roman"/>
          <w:highlight w:val="none"/>
          <w:lang w:val="en-US" w:eastAsia="zh-CN"/>
        </w:rPr>
        <w:t>原材料中碳酸盐质量含量</w:t>
      </w:r>
    </w:p>
    <w:p>
      <w:pPr>
        <w:pStyle w:val="26"/>
        <w:rPr>
          <w:rFonts w:hint="default" w:ascii="Times New Roman" w:hAnsi="Times New Roman" w:cs="Times New Roman"/>
          <w:highlight w:val="none"/>
          <w:lang w:val="en-US" w:eastAsia="zh-CN"/>
        </w:rPr>
      </w:pPr>
      <w:r>
        <w:rPr>
          <w:rFonts w:ascii="Times New Roman"/>
        </w:rPr>
        <w:t>具备条件的企业宜开展实测，或委托专业机构进行检测。如采用实测，</w:t>
      </w:r>
      <w:r>
        <w:rPr>
          <w:rFonts w:hint="default" w:ascii="Times New Roman" w:hAnsi="Times New Roman" w:cs="Times New Roman"/>
          <w:highlight w:val="none"/>
          <w:lang w:val="en-US" w:eastAsia="zh-CN"/>
        </w:rPr>
        <w:t>应按照GB/T 210.2、GB/T 1606、GB/T 3286.1、GB/T 3286.9等相关标准对每一批次原料进行检测，并取加权平均值</w:t>
      </w:r>
      <w:r>
        <w:rPr>
          <w:rFonts w:ascii="Times New Roman"/>
        </w:rPr>
        <w:t>。</w:t>
      </w:r>
      <w:r>
        <w:rPr>
          <w:rFonts w:hint="default" w:ascii="Times New Roman" w:hAnsi="Times New Roman" w:cs="Times New Roman"/>
          <w:highlight w:val="none"/>
          <w:lang w:val="en-US" w:eastAsia="zh-CN"/>
        </w:rPr>
        <w:t>无实测或测定方法不符合要求时，优先采用供应商数据，</w:t>
      </w:r>
      <w:r>
        <w:rPr>
          <w:rFonts w:hint="eastAsia" w:ascii="Times New Roman" w:cs="Times New Roman"/>
          <w:highlight w:val="none"/>
          <w:lang w:val="en-US" w:eastAsia="zh-CN"/>
        </w:rPr>
        <w:t>供应商数据不可获取时按100%计算。</w:t>
      </w:r>
    </w:p>
    <w:p>
      <w:pPr>
        <w:pStyle w:val="65"/>
        <w:bidi w:val="0"/>
        <w:ind w:left="0" w:leftChars="0" w:firstLine="0" w:firstLineChars="0"/>
        <w:rPr>
          <w:rFonts w:hint="default" w:hAnsi="Times New Roman" w:cs="Times New Roman"/>
          <w:highlight w:val="none"/>
          <w:lang w:val="en-US" w:eastAsia="zh-CN"/>
        </w:rPr>
      </w:pPr>
      <w:r>
        <w:rPr>
          <w:rFonts w:hint="eastAsia" w:cs="Times New Roman"/>
          <w:highlight w:val="none"/>
          <w:lang w:val="en-US" w:eastAsia="zh-CN"/>
        </w:rPr>
        <w:t>碳酸盐的排放因子</w:t>
      </w:r>
    </w:p>
    <w:p>
      <w:pPr>
        <w:pStyle w:val="26"/>
        <w:rPr>
          <w:rFonts w:hint="eastAsia"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企业可采用表</w:t>
      </w:r>
      <w:r>
        <w:rPr>
          <w:rFonts w:hint="eastAsia" w:ascii="Times New Roman" w:cs="Times New Roman"/>
          <w:highlight w:val="none"/>
          <w:lang w:val="en-US" w:eastAsia="zh-CN"/>
        </w:rPr>
        <w:t>B</w:t>
      </w:r>
      <w:r>
        <w:rPr>
          <w:rFonts w:hint="default" w:ascii="Times New Roman" w:hAnsi="Times New Roman" w:cs="Times New Roman"/>
          <w:highlight w:val="none"/>
          <w:lang w:val="en-US" w:eastAsia="zh-CN"/>
        </w:rPr>
        <w:t>.1中的碳酸盐的排放因子缺省值</w:t>
      </w:r>
      <w:r>
        <w:rPr>
          <w:rFonts w:hint="eastAsia" w:ascii="Times New Roman" w:cs="Times New Roman"/>
          <w:highlight w:val="none"/>
          <w:lang w:eastAsia="zh-CN"/>
        </w:rPr>
        <w:t>。</w:t>
      </w:r>
    </w:p>
    <w:p>
      <w:pPr>
        <w:pStyle w:val="56"/>
        <w:bidi w:val="0"/>
        <w:ind w:left="0" w:leftChars="0" w:firstLine="0" w:firstLineChars="0"/>
        <w:rPr>
          <w:rFonts w:hint="eastAsia" w:ascii="Times New Roman"/>
        </w:rPr>
      </w:pPr>
      <w:bookmarkStart w:id="87" w:name="_Toc128508454"/>
      <w:bookmarkStart w:id="88" w:name="_Toc128585859"/>
      <w:bookmarkStart w:id="89" w:name="_Toc128508302"/>
      <w:bookmarkStart w:id="90" w:name="_Toc21476"/>
      <w:bookmarkStart w:id="91" w:name="_Toc128508370"/>
      <w:bookmarkStart w:id="92" w:name="_Toc1748"/>
      <w:bookmarkStart w:id="93" w:name="_Toc28218"/>
      <w:bookmarkStart w:id="94" w:name="_Toc18672"/>
      <w:r>
        <w:rPr>
          <w:rFonts w:hint="eastAsia" w:ascii="Times New Roman"/>
        </w:rPr>
        <w:t>净购入使用电力产生的排放</w:t>
      </w:r>
      <w:bookmarkEnd w:id="87"/>
      <w:bookmarkEnd w:id="88"/>
      <w:bookmarkEnd w:id="89"/>
      <w:bookmarkEnd w:id="90"/>
      <w:bookmarkEnd w:id="91"/>
      <w:bookmarkEnd w:id="92"/>
    </w:p>
    <w:p>
      <w:pPr>
        <w:pStyle w:val="60"/>
        <w:bidi w:val="0"/>
        <w:ind w:left="0" w:leftChars="0" w:firstLine="0" w:firstLineChars="0"/>
        <w:rPr>
          <w:rFonts w:hint="eastAsia" w:ascii="Times New Roman"/>
        </w:rPr>
      </w:pPr>
      <w:r>
        <w:rPr>
          <w:rFonts w:hint="eastAsia" w:ascii="Times New Roman"/>
        </w:rPr>
        <w:t>计算公式</w:t>
      </w:r>
    </w:p>
    <w:p>
      <w:pPr>
        <w:pStyle w:val="159"/>
        <w:ind w:firstLine="420"/>
        <w:rPr>
          <w:rFonts w:ascii="Times New Roman"/>
        </w:rPr>
      </w:pPr>
      <w:r>
        <w:rPr>
          <w:rFonts w:ascii="Times New Roman"/>
        </w:rPr>
        <w:t>企业</w:t>
      </w:r>
      <w:r>
        <w:rPr>
          <w:rFonts w:hint="eastAsia" w:ascii="Times New Roman"/>
        </w:rPr>
        <w:t>净购入使用电力产生的</w:t>
      </w:r>
      <w:r>
        <w:rPr>
          <w:rFonts w:ascii="Times New Roman"/>
        </w:rPr>
        <w:t>二氧化碳排放量按</w:t>
      </w:r>
      <w:r>
        <w:rPr>
          <w:rFonts w:hint="eastAsia" w:ascii="Times New Roman"/>
          <w:lang w:eastAsia="zh-CN"/>
        </w:rPr>
        <w:t>公式（</w:t>
      </w:r>
      <w:r>
        <w:rPr>
          <w:rFonts w:hint="eastAsia" w:ascii="Times New Roman"/>
          <w:lang w:val="en-US" w:eastAsia="zh-CN"/>
        </w:rPr>
        <w:t>7</w:t>
      </w:r>
      <w:r>
        <w:rPr>
          <w:rFonts w:ascii="Times New Roman"/>
        </w:rPr>
        <w:t>）计算</w:t>
      </w:r>
      <w:r>
        <w:rPr>
          <w:rFonts w:hint="eastAsia" w:ascii="Times New Roman"/>
        </w:rPr>
        <w:t>：</w:t>
      </w:r>
    </w:p>
    <w:p>
      <w:pPr>
        <w:pStyle w:val="166"/>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电</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d>
              <m:dPr>
                <m:ctrlPr>
                  <w:rPr>
                    <w:rFonts w:ascii="Cambria Math" w:hAnsi="Cambria Math"/>
                    <w:i/>
                  </w:rPr>
                </m:ctrlPr>
              </m:dPr>
              <m:e>
                <m:r>
                  <m:rPr/>
                  <w:rPr>
                    <w:rFonts w:ascii="Cambria Math" w:hAnsi="Cambria Math"/>
                  </w:rPr>
                  <m:t>A</m:t>
                </m:r>
                <m:sSub>
                  <m:sSubPr>
                    <m:ctrlPr>
                      <w:rPr>
                        <w:rFonts w:ascii="Cambria Math" w:hAnsi="Cambria Math"/>
                        <w:i/>
                        <w:iCs/>
                      </w:rPr>
                    </m:ctrlPr>
                  </m:sSubPr>
                  <m:e>
                    <m:r>
                      <m:rPr/>
                      <w:rPr>
                        <w:rFonts w:ascii="Cambria Math" w:hAnsi="Cambria Math"/>
                      </w:rPr>
                      <m:t>D</m:t>
                    </m:r>
                    <m:ctrlPr>
                      <w:rPr>
                        <w:rFonts w:ascii="Cambria Math" w:hAnsi="Cambria Math"/>
                        <w:i/>
                        <w:iCs/>
                      </w:rPr>
                    </m:ctrlPr>
                  </m:e>
                  <m:sub>
                    <m:r>
                      <m:rPr/>
                      <w:rPr>
                        <w:rFonts w:hint="eastAsia" w:ascii="Cambria Math" w:hAnsi="Cambria Math" w:cs="宋体"/>
                      </w:rPr>
                      <m:t>购入电</m:t>
                    </m:r>
                    <m:ctrlPr>
                      <w:rPr>
                        <w:rFonts w:ascii="Cambria Math" w:hAnsi="Cambria Math"/>
                        <w:i/>
                        <w:iCs/>
                      </w:rPr>
                    </m:ctrlPr>
                  </m:sub>
                </m:sSub>
                <m:r>
                  <m:rPr/>
                  <w:rPr>
                    <w:rFonts w:ascii="Cambria Math" w:hAnsi="Cambria Math"/>
                  </w:rPr>
                  <m:t>−A</m:t>
                </m:r>
                <m:sSub>
                  <m:sSubPr>
                    <m:ctrlPr>
                      <w:rPr>
                        <w:rFonts w:hint="eastAsia" w:ascii="Cambria Math" w:hAnsi="Cambria Math"/>
                        <w:i/>
                        <w:iCs/>
                      </w:rPr>
                    </m:ctrlPr>
                  </m:sSubPr>
                  <m:e>
                    <m:r>
                      <m:rPr/>
                      <w:rPr>
                        <w:rFonts w:ascii="Cambria Math" w:hAnsi="Cambria Math"/>
                      </w:rPr>
                      <m:t>D</m:t>
                    </m:r>
                    <m:ctrlPr>
                      <w:rPr>
                        <w:rFonts w:hint="eastAsia" w:ascii="Cambria Math" w:hAnsi="Cambria Math"/>
                        <w:i/>
                        <w:iCs/>
                      </w:rPr>
                    </m:ctrlPr>
                  </m:e>
                  <m:sub>
                    <m:r>
                      <m:rPr/>
                      <w:rPr>
                        <w:rFonts w:hint="eastAsia" w:ascii="Cambria Math" w:hAnsi="Cambria Math"/>
                      </w:rPr>
                      <m:t>购入电网非化石电</m:t>
                    </m:r>
                    <m:ctrlPr>
                      <w:rPr>
                        <w:rFonts w:hint="eastAsia" w:ascii="Cambria Math" w:hAnsi="Cambria Math"/>
                        <w:i/>
                        <w:iCs/>
                      </w:rPr>
                    </m:ctrlPr>
                  </m:sub>
                </m:sSub>
                <m:ctrlPr>
                  <w:rPr>
                    <w:rFonts w:ascii="Cambria Math" w:hAnsi="Cambria Math"/>
                    <w:i/>
                  </w:rPr>
                </m:ctrlPr>
              </m:e>
            </m:d>
            <m:r>
              <m:rPr/>
              <w:rPr>
                <w:rFonts w:hint="default" w:ascii="Cambria Math" w:hAnsi="Cambria Math"/>
                <w:lang w:val="en-US" w:eastAsia="zh-CN"/>
              </w:rPr>
              <m:t>−</m:t>
            </m:r>
            <m:d>
              <m:dPr>
                <m:ctrlPr>
                  <w:rPr>
                    <w:rFonts w:hint="default" w:ascii="Cambria Math" w:hAnsi="Cambria Math"/>
                    <w:i/>
                    <w:lang w:val="en-US" w:eastAsia="zh-CN"/>
                  </w:rPr>
                </m:ctrlPr>
              </m:dPr>
              <m:e>
                <m:r>
                  <m:rPr/>
                  <w:rPr>
                    <w:rFonts w:ascii="Cambria Math" w:hAnsi="Cambria Math"/>
                  </w:rPr>
                  <m:t>A</m:t>
                </m:r>
                <m:sSub>
                  <m:sSubPr>
                    <m:ctrlPr>
                      <w:rPr>
                        <w:rFonts w:ascii="Cambria Math" w:hAnsi="Cambria Math"/>
                        <w:i/>
                        <w:iCs/>
                      </w:rPr>
                    </m:ctrlPr>
                  </m:sSubPr>
                  <m:e>
                    <m:r>
                      <m:rPr/>
                      <w:rPr>
                        <w:rFonts w:ascii="Cambria Math" w:hAnsi="Cambria Math"/>
                      </w:rPr>
                      <m:t>D</m:t>
                    </m:r>
                    <m:ctrlPr>
                      <w:rPr>
                        <w:rFonts w:ascii="Cambria Math" w:hAnsi="Cambria Math"/>
                        <w:i/>
                        <w:iCs/>
                      </w:rPr>
                    </m:ctrlPr>
                  </m:e>
                  <m:sub>
                    <m:r>
                      <m:rPr/>
                      <w:rPr>
                        <w:rFonts w:hint="eastAsia" w:ascii="Cambria Math" w:hAnsi="Cambria Math"/>
                        <w:lang w:val="en-US" w:eastAsia="zh-CN"/>
                      </w:rPr>
                      <m:t>输出</m:t>
                    </m:r>
                    <m:r>
                      <m:rPr/>
                      <w:rPr>
                        <w:rFonts w:hint="eastAsia" w:ascii="Cambria Math" w:hAnsi="Cambria Math" w:cs="宋体"/>
                      </w:rPr>
                      <m:t>电</m:t>
                    </m:r>
                    <m:ctrlPr>
                      <w:rPr>
                        <w:rFonts w:ascii="Cambria Math" w:hAnsi="Cambria Math"/>
                        <w:i/>
                        <w:iCs/>
                      </w:rPr>
                    </m:ctrlPr>
                  </m:sub>
                </m:sSub>
                <m:r>
                  <m:rPr/>
                  <w:rPr>
                    <w:rFonts w:ascii="Cambria Math" w:hAnsi="Cambria Math"/>
                  </w:rPr>
                  <m:t>−A</m:t>
                </m:r>
                <m:sSub>
                  <m:sSubPr>
                    <m:ctrlPr>
                      <w:rPr>
                        <w:rFonts w:hint="eastAsia" w:ascii="Cambria Math" w:hAnsi="Cambria Math"/>
                        <w:i/>
                        <w:iCs/>
                      </w:rPr>
                    </m:ctrlPr>
                  </m:sSubPr>
                  <m:e>
                    <m:r>
                      <m:rPr/>
                      <w:rPr>
                        <w:rFonts w:ascii="Cambria Math" w:hAnsi="Cambria Math"/>
                      </w:rPr>
                      <m:t>D</m:t>
                    </m:r>
                    <m:ctrlPr>
                      <w:rPr>
                        <w:rFonts w:hint="eastAsia" w:ascii="Cambria Math" w:hAnsi="Cambria Math"/>
                        <w:i/>
                        <w:iCs/>
                      </w:rPr>
                    </m:ctrlPr>
                  </m:e>
                  <m:sub>
                    <m:r>
                      <m:rPr/>
                      <w:rPr>
                        <w:rFonts w:hint="eastAsia" w:ascii="Cambria Math" w:hAnsi="Cambria Math"/>
                        <w:lang w:val="en-US" w:eastAsia="zh-CN"/>
                      </w:rPr>
                      <m:t>输出</m:t>
                    </m:r>
                    <m:r>
                      <m:rPr/>
                      <w:rPr>
                        <w:rFonts w:hint="eastAsia" w:ascii="Cambria Math" w:hAnsi="Cambria Math"/>
                      </w:rPr>
                      <m:t>电网非化石电</m:t>
                    </m:r>
                    <m:ctrlPr>
                      <w:rPr>
                        <w:rFonts w:hint="eastAsia" w:ascii="Cambria Math" w:hAnsi="Cambria Math"/>
                        <w:i/>
                        <w:iCs/>
                      </w:rPr>
                    </m:ctrlPr>
                  </m:sub>
                </m:sSub>
                <m:ctrlPr>
                  <w:rPr>
                    <w:rFonts w:hint="default" w:ascii="Cambria Math" w:hAnsi="Cambria Math"/>
                    <w:i/>
                    <w:lang w:val="en-US" w:eastAsia="zh-CN"/>
                  </w:rPr>
                </m:ctrlPr>
              </m:e>
            </m:d>
            <m:ctrlPr>
              <w:rPr>
                <w:rFonts w:ascii="Cambria Math" w:hAnsi="Cambria Math"/>
                <w:i/>
              </w:rPr>
            </m:ctrlPr>
          </m:e>
        </m:d>
        <m:r>
          <m:rPr/>
          <w:rPr>
            <w:rFonts w:ascii="Cambria Math" w:hAnsi="Cambria Math"/>
          </w:rPr>
          <m:t>×E</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电</m:t>
            </m:r>
            <m:ctrlPr>
              <w:rPr>
                <w:rFonts w:ascii="Cambria Math" w:hAnsi="Cambria Math"/>
                <w:i/>
              </w:rPr>
            </m:ctrlPr>
          </m:sub>
        </m:sSub>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7</w:t>
      </w:r>
      <w:r>
        <w:rPr>
          <w:rFonts w:hint="eastAsia" w:ascii="Times New Roman" w:hAnsi="Times New Roman"/>
        </w:rPr>
        <w:t>）</w:t>
      </w:r>
    </w:p>
    <w:p>
      <w:pPr>
        <w:pStyle w:val="167"/>
        <w:ind w:firstLine="420"/>
        <w:rPr>
          <w:rFonts w:ascii="Times New Roman" w:hAnsi="Times New Roman"/>
        </w:rPr>
      </w:pPr>
      <w:r>
        <w:rPr>
          <w:rFonts w:ascii="Times New Roman" w:hAnsi="Times New Roman"/>
        </w:rPr>
        <w:t>式中：</w:t>
      </w:r>
    </w:p>
    <w:tbl>
      <w:tblPr>
        <w:tblStyle w:val="39"/>
        <w:tblW w:w="9127"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44"/>
        <w:gridCol w:w="340"/>
        <w:gridCol w:w="71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1644" w:type="dxa"/>
            <w:vAlign w:val="top"/>
          </w:tcPr>
          <w:p>
            <w:pPr>
              <w:pStyle w:val="159"/>
              <w:adjustRightInd w:val="0"/>
              <w:snapToGrid w:val="0"/>
              <w:ind w:firstLine="0" w:firstLineChars="0"/>
              <w:rPr>
                <w:rFonts w:hint="eastAsia" w:ascii="Cambria Math" w:hAnsi="Cambria Math"/>
                <w:i/>
                <w:oMath/>
              </w:rPr>
            </w:pPr>
            <m:oMathPara>
              <m:oMathParaPr>
                <m:jc m:val="left"/>
              </m:oMathParaP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ascii="Cambria Math" w:hAnsi="Cambria Math"/>
                      </w:rPr>
                      <m:t>电</m:t>
                    </m:r>
                    <m:ctrlPr>
                      <w:rPr>
                        <w:rFonts w:ascii="Cambria Math" w:hAnsi="Cambria Math"/>
                        <w:i/>
                        <w:iCs/>
                      </w:rPr>
                    </m:ctrlPr>
                  </m:sub>
                </m:sSub>
              </m:oMath>
            </m:oMathPara>
          </w:p>
        </w:tc>
        <w:tc>
          <w:tcPr>
            <w:tcW w:w="340" w:type="dxa"/>
            <w:vAlign w:val="top"/>
          </w:tcPr>
          <w:p>
            <w:pPr>
              <w:pStyle w:val="159"/>
              <w:adjustRightInd w:val="0"/>
              <w:snapToGrid w:val="0"/>
              <w:ind w:left="-105" w:leftChars="-50" w:right="-105" w:rightChars="-50" w:firstLine="0" w:firstLineChars="0"/>
              <w:jc w:val="center"/>
              <w:rPr>
                <w:rFonts w:ascii="Times New Roman"/>
              </w:rPr>
            </w:pPr>
            <w:r>
              <w:rPr>
                <w:rFonts w:ascii="Times New Roman"/>
              </w:rPr>
              <w:t>—</w:t>
            </w:r>
          </w:p>
        </w:tc>
        <w:tc>
          <w:tcPr>
            <w:tcW w:w="7143" w:type="dxa"/>
            <w:vAlign w:val="top"/>
          </w:tcPr>
          <w:p>
            <w:pPr>
              <w:pStyle w:val="159"/>
              <w:adjustRightInd w:val="0"/>
              <w:snapToGrid w:val="0"/>
              <w:ind w:left="-105" w:leftChars="-50" w:firstLine="0" w:firstLineChars="0"/>
              <w:rPr>
                <w:rFonts w:ascii="Times New Roman"/>
              </w:rPr>
            </w:pPr>
            <w:r>
              <w:rPr>
                <w:rFonts w:hint="eastAsia" w:ascii="Times New Roman"/>
              </w:rPr>
              <w:t>企业净</w:t>
            </w:r>
            <w:r>
              <w:rPr>
                <w:rFonts w:ascii="Times New Roman"/>
              </w:rPr>
              <w:t>购入电力产生的二氧化碳排放量，</w:t>
            </w:r>
            <w:r>
              <w:rPr>
                <w:rFonts w:hint="eastAsia" w:ascii="Times New Roman"/>
              </w:rPr>
              <w:t>以</w:t>
            </w:r>
            <w:r>
              <w:rPr>
                <w:rFonts w:ascii="Times New Roman"/>
              </w:rPr>
              <w:t>吨二氧化碳（tCO</w:t>
            </w:r>
            <w:r>
              <w:rPr>
                <w:rFonts w:ascii="Times New Roman"/>
                <w:vertAlign w:val="subscript"/>
              </w:rPr>
              <w:t>2</w:t>
            </w:r>
            <w:r>
              <w:rPr>
                <w:rFonts w:ascii="Times New Roman"/>
              </w:rPr>
              <w:t>）</w:t>
            </w:r>
            <w:r>
              <w:rPr>
                <w:rFonts w:hint="eastAsia" w:ascii="Times New Roman"/>
              </w:rPr>
              <w:t>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1644" w:type="dxa"/>
            <w:vAlign w:val="top"/>
          </w:tcPr>
          <w:p>
            <w:pPr>
              <w:pStyle w:val="159"/>
              <w:adjustRightInd w:val="0"/>
              <w:snapToGrid w:val="0"/>
              <w:ind w:firstLine="0" w:firstLineChars="0"/>
              <w:jc w:val="center"/>
              <w:rPr>
                <w:rFonts w:ascii="Times New Roman"/>
                <w:i/>
                <w:iCs/>
              </w:rPr>
            </w:pPr>
            <m:oMathPara>
              <m:oMathParaPr>
                <m:jc m:val="left"/>
              </m:oMathParaPr>
              <m:oMath>
                <m:r>
                  <m:rPr/>
                  <w:rPr>
                    <w:rFonts w:ascii="Cambria Math" w:hAnsi="Cambria Math"/>
                  </w:rPr>
                  <m:t>A</m:t>
                </m:r>
                <m:sSub>
                  <m:sSubPr>
                    <m:ctrlPr>
                      <w:rPr>
                        <w:rFonts w:ascii="Cambria Math" w:hAnsi="Cambria Math"/>
                        <w:i/>
                        <w:iCs/>
                        <w:szCs w:val="21"/>
                      </w:rPr>
                    </m:ctrlPr>
                  </m:sSubPr>
                  <m:e>
                    <m:r>
                      <m:rPr/>
                      <w:rPr>
                        <w:rFonts w:ascii="Cambria Math" w:hAnsi="Cambria Math"/>
                      </w:rPr>
                      <m:t>D</m:t>
                    </m:r>
                    <m:ctrlPr>
                      <w:rPr>
                        <w:rFonts w:ascii="Cambria Math" w:hAnsi="Cambria Math"/>
                        <w:i/>
                        <w:iCs/>
                        <w:szCs w:val="21"/>
                      </w:rPr>
                    </m:ctrlPr>
                  </m:e>
                  <m:sub>
                    <m:r>
                      <m:rPr/>
                      <w:rPr>
                        <w:rFonts w:ascii="Cambria Math" w:hAnsi="Cambria Math"/>
                      </w:rPr>
                      <m:t>购入电</m:t>
                    </m:r>
                    <m:ctrlPr>
                      <w:rPr>
                        <w:rFonts w:ascii="Cambria Math" w:hAnsi="Cambria Math"/>
                        <w:i/>
                        <w:iCs/>
                        <w:szCs w:val="21"/>
                      </w:rPr>
                    </m:ctrlPr>
                  </m:sub>
                </m:sSub>
              </m:oMath>
            </m:oMathPara>
          </w:p>
        </w:tc>
        <w:tc>
          <w:tcPr>
            <w:tcW w:w="340" w:type="dxa"/>
            <w:vAlign w:val="top"/>
          </w:tcPr>
          <w:p>
            <w:pPr>
              <w:pStyle w:val="159"/>
              <w:adjustRightInd w:val="0"/>
              <w:snapToGrid w:val="0"/>
              <w:ind w:left="-105" w:leftChars="-50" w:right="-105" w:rightChars="-50" w:firstLine="0" w:firstLineChars="0"/>
              <w:jc w:val="center"/>
              <w:rPr>
                <w:rFonts w:ascii="Times New Roman"/>
              </w:rPr>
            </w:pPr>
            <w:r>
              <w:rPr>
                <w:rFonts w:ascii="Times New Roman"/>
              </w:rPr>
              <w:t>—</w:t>
            </w:r>
          </w:p>
        </w:tc>
        <w:tc>
          <w:tcPr>
            <w:tcW w:w="7143" w:type="dxa"/>
            <w:vAlign w:val="top"/>
          </w:tcPr>
          <w:p>
            <w:pPr>
              <w:pStyle w:val="159"/>
              <w:adjustRightInd w:val="0"/>
              <w:snapToGrid w:val="0"/>
              <w:ind w:left="-105" w:leftChars="-50" w:firstLine="0" w:firstLineChars="0"/>
              <w:rPr>
                <w:rFonts w:ascii="Times New Roman"/>
              </w:rPr>
            </w:pPr>
            <w:r>
              <w:rPr>
                <w:rFonts w:ascii="Times New Roman"/>
              </w:rPr>
              <w:t>核算和报告期内购入的总电量，包括购入的电网电量和购入的未并入市政电网的化石能源电量和非化石能源电量，以兆瓦时（MWh）计；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1644" w:type="dxa"/>
            <w:vAlign w:val="top"/>
          </w:tcPr>
          <w:p>
            <w:pPr>
              <w:pStyle w:val="159"/>
              <w:adjustRightInd w:val="0"/>
              <w:snapToGrid w:val="0"/>
              <w:ind w:firstLine="0" w:firstLineChars="0"/>
              <w:rPr>
                <w:rFonts w:ascii="Cambria Math" w:hAnsi="Cambria Math" w:eastAsia="仿宋_GB2312"/>
                <w:i/>
                <w:oMath/>
              </w:rPr>
            </w:pPr>
            <m:oMathPara>
              <m:oMathParaPr>
                <m:jc m:val="left"/>
              </m:oMathParaPr>
              <m:oMath>
                <m:r>
                  <m:rPr/>
                  <w:rPr>
                    <w:rFonts w:ascii="Cambria Math" w:hAnsi="Cambria Math"/>
                  </w:rPr>
                  <m:t>A</m:t>
                </m:r>
                <m:sSub>
                  <m:sSubPr>
                    <m:ctrlPr>
                      <w:rPr>
                        <w:rFonts w:ascii="Cambria Math" w:hAnsi="Cambria Math"/>
                        <w:i/>
                        <w:iCs/>
                      </w:rPr>
                    </m:ctrlPr>
                  </m:sSubPr>
                  <m:e>
                    <m:r>
                      <m:rPr/>
                      <w:rPr>
                        <w:rFonts w:ascii="Cambria Math" w:hAnsi="Cambria Math"/>
                      </w:rPr>
                      <m:t>D</m:t>
                    </m:r>
                    <m:ctrlPr>
                      <w:rPr>
                        <w:rFonts w:ascii="Cambria Math" w:hAnsi="Cambria Math"/>
                        <w:i/>
                        <w:iCs/>
                      </w:rPr>
                    </m:ctrlPr>
                  </m:e>
                  <m:sub>
                    <m:r>
                      <m:rPr/>
                      <w:rPr>
                        <w:rFonts w:ascii="Cambria Math" w:hAnsi="Cambria Math"/>
                      </w:rPr>
                      <m:t>购入电网非化石电</m:t>
                    </m:r>
                    <m:ctrlPr>
                      <w:rPr>
                        <w:rFonts w:ascii="Cambria Math" w:hAnsi="Cambria Math"/>
                        <w:i/>
                        <w:iCs/>
                      </w:rPr>
                    </m:ctrlPr>
                  </m:sub>
                </m:sSub>
              </m:oMath>
            </m:oMathPara>
          </w:p>
        </w:tc>
        <w:tc>
          <w:tcPr>
            <w:tcW w:w="340" w:type="dxa"/>
            <w:vAlign w:val="top"/>
          </w:tcPr>
          <w:p>
            <w:pPr>
              <w:pStyle w:val="159"/>
              <w:adjustRightInd w:val="0"/>
              <w:snapToGrid w:val="0"/>
              <w:ind w:left="-105" w:leftChars="-50" w:right="-105" w:rightChars="-50" w:firstLine="0" w:firstLineChars="0"/>
              <w:jc w:val="center"/>
              <w:rPr>
                <w:rFonts w:ascii="Times New Roman"/>
              </w:rPr>
            </w:pPr>
            <w:r>
              <w:rPr>
                <w:rFonts w:ascii="Times New Roman"/>
              </w:rPr>
              <w:t>—</w:t>
            </w:r>
          </w:p>
        </w:tc>
        <w:tc>
          <w:tcPr>
            <w:tcW w:w="7143" w:type="dxa"/>
            <w:vAlign w:val="top"/>
          </w:tcPr>
          <w:p>
            <w:pPr>
              <w:pStyle w:val="159"/>
              <w:adjustRightInd w:val="0"/>
              <w:snapToGrid w:val="0"/>
              <w:ind w:left="-105" w:leftChars="-50" w:firstLine="0" w:firstLineChars="0"/>
              <w:rPr>
                <w:rFonts w:ascii="Times New Roman"/>
              </w:rPr>
            </w:pPr>
            <w:r>
              <w:rPr>
                <w:rFonts w:ascii="Times New Roman"/>
              </w:rPr>
              <w:t>核算和报告期内通过市场化交易购入使用的非化石能源电力消费量，</w:t>
            </w:r>
            <w:r>
              <w:rPr>
                <w:rFonts w:ascii="Times New Roman"/>
                <w:szCs w:val="21"/>
              </w:rPr>
              <w:t>以兆瓦时（MW∙h）计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1644" w:type="dxa"/>
            <w:vAlign w:val="top"/>
          </w:tcPr>
          <w:p>
            <w:pPr>
              <w:pStyle w:val="159"/>
              <w:adjustRightInd w:val="0"/>
              <w:snapToGrid w:val="0"/>
              <w:ind w:firstLine="0" w:firstLineChars="0"/>
              <w:jc w:val="both"/>
              <w:rPr>
                <w:rFonts w:ascii="Times New Roman"/>
              </w:rPr>
            </w:pPr>
            <m:oMathPara>
              <m:oMathParaPr>
                <m:jc m:val="left"/>
              </m:oMathParaPr>
              <m:oMath>
                <m:r>
                  <m:rPr/>
                  <w:rPr>
                    <w:rFonts w:ascii="Cambria Math" w:hAnsi="Cambria Math"/>
                  </w:rPr>
                  <m:t>A</m:t>
                </m:r>
                <m:sSub>
                  <m:sSubPr>
                    <m:ctrlPr>
                      <w:rPr>
                        <w:rFonts w:ascii="Cambria Math" w:hAnsi="Cambria Math"/>
                        <w:i/>
                        <w:iCs/>
                        <w:szCs w:val="21"/>
                      </w:rPr>
                    </m:ctrlPr>
                  </m:sSubPr>
                  <m:e>
                    <m:r>
                      <m:rPr/>
                      <w:rPr>
                        <w:rFonts w:ascii="Cambria Math" w:hAnsi="Cambria Math"/>
                      </w:rPr>
                      <m:t>D</m:t>
                    </m:r>
                    <m:ctrlPr>
                      <w:rPr>
                        <w:rFonts w:ascii="Cambria Math" w:hAnsi="Cambria Math"/>
                        <w:i/>
                        <w:iCs/>
                        <w:szCs w:val="21"/>
                      </w:rPr>
                    </m:ctrlPr>
                  </m:e>
                  <m:sub>
                    <m:r>
                      <m:rPr/>
                      <w:rPr>
                        <w:rFonts w:hint="eastAsia" w:ascii="Cambria Math" w:hAnsi="Cambria Math"/>
                        <w:szCs w:val="21"/>
                        <w:lang w:val="en-US" w:eastAsia="zh-CN"/>
                      </w:rPr>
                      <m:t>输出</m:t>
                    </m:r>
                    <m:r>
                      <m:rPr/>
                      <w:rPr>
                        <w:rFonts w:ascii="Cambria Math" w:hAnsi="Cambria Math"/>
                      </w:rPr>
                      <m:t>电</m:t>
                    </m:r>
                    <m:ctrlPr>
                      <w:rPr>
                        <w:rFonts w:ascii="Cambria Math" w:hAnsi="Cambria Math"/>
                        <w:i/>
                        <w:iCs/>
                        <w:szCs w:val="21"/>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rPr>
            </w:pPr>
          </w:p>
        </w:tc>
        <w:tc>
          <w:tcPr>
            <w:tcW w:w="7143" w:type="dxa"/>
          </w:tcPr>
          <w:p>
            <w:pPr>
              <w:pStyle w:val="159"/>
              <w:adjustRightInd w:val="0"/>
              <w:snapToGrid w:val="0"/>
              <w:ind w:left="-105" w:leftChars="-50" w:firstLine="0" w:firstLineChars="0"/>
              <w:rPr>
                <w:rFonts w:ascii="Times New Roman"/>
              </w:rPr>
            </w:pPr>
            <w:r>
              <w:rPr>
                <w:rFonts w:ascii="Times New Roman"/>
              </w:rPr>
              <w:t>核算和报告期内</w:t>
            </w:r>
            <w:r>
              <w:rPr>
                <w:rFonts w:hint="eastAsia" w:ascii="Times New Roman"/>
                <w:lang w:val="en-US" w:eastAsia="zh-CN"/>
              </w:rPr>
              <w:t>转供输出</w:t>
            </w:r>
            <w:r>
              <w:rPr>
                <w:rFonts w:ascii="Times New Roman"/>
              </w:rPr>
              <w:t>的总电量，以兆瓦时（MWh）计；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1644" w:type="dxa"/>
          </w:tcPr>
          <w:p>
            <w:pPr>
              <w:pStyle w:val="159"/>
              <w:adjustRightInd w:val="0"/>
              <w:snapToGrid w:val="0"/>
              <w:ind w:firstLine="0" w:firstLineChars="0"/>
              <w:rPr>
                <w:rFonts w:ascii="Cambria Math" w:hAnsi="Cambria Math" w:eastAsia="仿宋_GB2312"/>
                <w:i/>
                <w:oMath/>
              </w:rPr>
            </w:pPr>
            <m:oMathPara>
              <m:oMath>
                <m:r>
                  <m:rPr/>
                  <w:rPr>
                    <w:rFonts w:ascii="Cambria Math" w:hAnsi="Cambria Math"/>
                  </w:rPr>
                  <m:t>A</m:t>
                </m:r>
                <m:sSub>
                  <m:sSubPr>
                    <m:ctrlPr>
                      <w:rPr>
                        <w:rFonts w:hint="eastAsia" w:ascii="Cambria Math" w:hAnsi="Cambria Math"/>
                        <w:i/>
                        <w:iCs/>
                      </w:rPr>
                    </m:ctrlPr>
                  </m:sSubPr>
                  <m:e>
                    <m:r>
                      <m:rPr/>
                      <w:rPr>
                        <w:rFonts w:ascii="Cambria Math" w:hAnsi="Cambria Math"/>
                      </w:rPr>
                      <m:t>D</m:t>
                    </m:r>
                    <m:ctrlPr>
                      <w:rPr>
                        <w:rFonts w:hint="eastAsia" w:ascii="Cambria Math" w:hAnsi="Cambria Math"/>
                        <w:i/>
                        <w:iCs/>
                      </w:rPr>
                    </m:ctrlPr>
                  </m:e>
                  <m:sub>
                    <m:r>
                      <m:rPr/>
                      <w:rPr>
                        <w:rFonts w:hint="eastAsia" w:ascii="Cambria Math" w:hAnsi="Cambria Math"/>
                        <w:lang w:val="en-US" w:eastAsia="zh-CN"/>
                      </w:rPr>
                      <m:t>输出</m:t>
                    </m:r>
                    <m:r>
                      <m:rPr/>
                      <w:rPr>
                        <w:rFonts w:hint="eastAsia" w:ascii="Cambria Math" w:hAnsi="Cambria Math"/>
                      </w:rPr>
                      <m:t>电网非化石电</m:t>
                    </m:r>
                    <m:ctrlPr>
                      <w:rPr>
                        <w:rFonts w:hint="eastAsia" w:ascii="Cambria Math" w:hAnsi="Cambria Math"/>
                        <w:i/>
                        <w:iCs/>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rPr>
            </w:pPr>
          </w:p>
        </w:tc>
        <w:tc>
          <w:tcPr>
            <w:tcW w:w="7143" w:type="dxa"/>
          </w:tcPr>
          <w:p>
            <w:pPr>
              <w:pStyle w:val="159"/>
              <w:adjustRightInd w:val="0"/>
              <w:snapToGrid w:val="0"/>
              <w:ind w:left="-105" w:leftChars="-50" w:firstLine="0" w:firstLineChars="0"/>
              <w:rPr>
                <w:rFonts w:ascii="Times New Roman"/>
              </w:rPr>
            </w:pPr>
            <w:r>
              <w:rPr>
                <w:rFonts w:ascii="Times New Roman"/>
              </w:rPr>
              <w:t>核算和报告期内</w:t>
            </w:r>
            <w:r>
              <w:rPr>
                <w:rFonts w:hint="eastAsia" w:ascii="Times New Roman"/>
              </w:rPr>
              <w:t>转供输出的总电量</w:t>
            </w:r>
            <w:r>
              <w:rPr>
                <w:rFonts w:hint="eastAsia" w:ascii="Times New Roman"/>
                <w:lang w:val="en-US" w:eastAsia="zh-CN"/>
              </w:rPr>
              <w:t>中</w:t>
            </w:r>
            <w:r>
              <w:rPr>
                <w:rFonts w:ascii="Times New Roman"/>
              </w:rPr>
              <w:t>通过市场化交易购入使用的非化石能源电力消费量</w:t>
            </w:r>
            <w:r>
              <w:rPr>
                <w:rFonts w:ascii="Times New Roman"/>
              </w:rPr>
              <w:t>，</w:t>
            </w:r>
            <w:r>
              <w:rPr>
                <w:rFonts w:ascii="Times New Roman"/>
                <w:szCs w:val="21"/>
              </w:rPr>
              <w:t>以兆瓦时（MW∙h）计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1644" w:type="dxa"/>
            <w:vAlign w:val="top"/>
          </w:tcPr>
          <w:p>
            <w:pPr>
              <w:pStyle w:val="159"/>
              <w:adjustRightInd w:val="0"/>
              <w:snapToGrid w:val="0"/>
              <w:ind w:firstLine="0" w:firstLineChars="0"/>
              <w:rPr>
                <w:rFonts w:ascii="Times New Roman" w:hAnsi="Times New Roman" w:eastAsia="宋体" w:cs="Times New Roman"/>
                <w:sz w:val="21"/>
                <w:lang w:val="en-US" w:eastAsia="zh-CN" w:bidi="ar-SA"/>
                <w:oMath/>
              </w:rPr>
            </w:pPr>
            <m:oMathPara>
              <m:oMathParaPr>
                <m:jc m:val="left"/>
              </m:oMathParaPr>
              <m:oMath>
                <m:r>
                  <m:rPr/>
                  <w:rPr>
                    <w:rFonts w:ascii="Cambria Math" w:hAnsi="Cambria Math" w:eastAsia="仿宋_GB2312"/>
                  </w:rPr>
                  <m:t>E</m:t>
                </m:r>
                <m:sSub>
                  <m:sSubPr>
                    <m:ctrlPr>
                      <w:rPr>
                        <w:rFonts w:ascii="Cambria Math" w:hAnsi="Cambria Math" w:eastAsia="仿宋_GB2312"/>
                        <w:i/>
                      </w:rPr>
                    </m:ctrlPr>
                  </m:sSubPr>
                  <m:e>
                    <m:r>
                      <m:rPr/>
                      <w:rPr>
                        <w:rFonts w:ascii="Cambria Math" w:hAnsi="Cambria Math" w:eastAsia="仿宋_GB2312"/>
                      </w:rPr>
                      <m:t>F</m:t>
                    </m:r>
                    <m:ctrlPr>
                      <w:rPr>
                        <w:rFonts w:ascii="Cambria Math" w:hAnsi="Cambria Math" w:eastAsia="仿宋_GB2312"/>
                        <w:i/>
                      </w:rPr>
                    </m:ctrlPr>
                  </m:e>
                  <m:sub>
                    <m:r>
                      <m:rPr/>
                      <w:rPr>
                        <w:rFonts w:ascii="Cambria Math" w:hAnsi="Cambria Math"/>
                      </w:rPr>
                      <m:t>电</m:t>
                    </m:r>
                    <m:ctrlPr>
                      <w:rPr>
                        <w:rFonts w:ascii="Cambria Math" w:hAnsi="Cambria Math" w:eastAsia="仿宋_GB2312"/>
                        <w:i/>
                      </w:rPr>
                    </m:ctrlPr>
                  </m:sub>
                </m:sSub>
              </m:oMath>
            </m:oMathPara>
          </w:p>
        </w:tc>
        <w:tc>
          <w:tcPr>
            <w:tcW w:w="340" w:type="dxa"/>
            <w:vAlign w:val="top"/>
          </w:tcPr>
          <w:p>
            <w:pPr>
              <w:pStyle w:val="159"/>
              <w:adjustRightInd w:val="0"/>
              <w:snapToGrid w:val="0"/>
              <w:ind w:left="-105" w:leftChars="-50" w:right="-105" w:rightChars="-50" w:firstLine="0" w:firstLineChars="0"/>
              <w:jc w:val="center"/>
              <w:rPr>
                <w:rFonts w:ascii="Times New Roman" w:hAnsi="Times New Roman" w:eastAsia="宋体" w:cs="Times New Roman"/>
                <w:sz w:val="21"/>
                <w:lang w:val="en-US" w:eastAsia="zh-CN" w:bidi="ar-SA"/>
              </w:rPr>
            </w:pPr>
            <w:r>
              <w:rPr>
                <w:rFonts w:ascii="Times New Roman"/>
              </w:rPr>
              <w:t>—</w:t>
            </w:r>
          </w:p>
        </w:tc>
        <w:tc>
          <w:tcPr>
            <w:tcW w:w="7143" w:type="dxa"/>
            <w:vAlign w:val="top"/>
          </w:tcPr>
          <w:p>
            <w:pPr>
              <w:pStyle w:val="159"/>
              <w:adjustRightInd w:val="0"/>
              <w:snapToGrid w:val="0"/>
              <w:ind w:left="-105" w:leftChars="-50" w:firstLine="0" w:firstLineChars="0"/>
              <w:rPr>
                <w:rFonts w:ascii="Times New Roman" w:hAnsi="Times New Roman" w:eastAsia="宋体" w:cs="Times New Roman"/>
                <w:sz w:val="21"/>
                <w:lang w:val="en-US" w:eastAsia="zh-CN" w:bidi="ar-SA"/>
              </w:rPr>
            </w:pPr>
            <w:r>
              <w:rPr>
                <w:rFonts w:ascii="Times New Roman"/>
              </w:rPr>
              <w:t>电力的二氧化碳排放因子，</w:t>
            </w:r>
            <w:r>
              <w:rPr>
                <w:rFonts w:hint="eastAsia" w:ascii="Times New Roman"/>
              </w:rPr>
              <w:t>以</w:t>
            </w:r>
            <w:r>
              <w:rPr>
                <w:rFonts w:ascii="Times New Roman"/>
              </w:rPr>
              <w:t>吨二氧化碳每兆瓦时（tCO</w:t>
            </w:r>
            <w:r>
              <w:rPr>
                <w:rFonts w:ascii="Times New Roman"/>
                <w:vertAlign w:val="subscript"/>
              </w:rPr>
              <w:t>2</w:t>
            </w:r>
            <w:r>
              <w:rPr>
                <w:rFonts w:ascii="Times New Roman"/>
              </w:rPr>
              <w:t>/MWh）</w:t>
            </w:r>
            <w:r>
              <w:rPr>
                <w:rFonts w:hint="eastAsia" w:ascii="Times New Roman"/>
              </w:rPr>
              <w:t>计</w:t>
            </w:r>
            <w:r>
              <w:rPr>
                <w:rFonts w:ascii="Times New Roman"/>
              </w:rPr>
              <w:t>。</w:t>
            </w:r>
          </w:p>
        </w:tc>
      </w:tr>
    </w:tbl>
    <w:p>
      <w:pPr>
        <w:pStyle w:val="60"/>
        <w:bidi w:val="0"/>
        <w:ind w:left="0" w:leftChars="0" w:firstLine="0" w:firstLineChars="0"/>
        <w:rPr>
          <w:rFonts w:hint="eastAsia" w:ascii="Times New Roman"/>
        </w:rPr>
      </w:pPr>
      <w:r>
        <w:rPr>
          <w:rFonts w:hint="eastAsia" w:ascii="Times New Roman"/>
        </w:rPr>
        <w:t>数据</w:t>
      </w:r>
      <w:r>
        <w:rPr>
          <w:rFonts w:hint="eastAsia" w:ascii="Times New Roman"/>
          <w:lang w:val="en-US" w:eastAsia="zh-CN"/>
        </w:rPr>
        <w:t>的监测与获取</w:t>
      </w:r>
    </w:p>
    <w:p>
      <w:pPr>
        <w:pStyle w:val="65"/>
        <w:bidi w:val="0"/>
        <w:ind w:left="0" w:leftChars="0" w:firstLine="0" w:firstLineChars="0"/>
        <w:rPr>
          <w:rFonts w:hint="eastAsia" w:ascii="Times New Roman"/>
          <w:lang w:val="en-US" w:eastAsia="zh-CN"/>
        </w:rPr>
      </w:pPr>
      <w:r>
        <w:rPr>
          <w:rFonts w:hint="eastAsia" w:ascii="Times New Roman"/>
          <w:lang w:val="en-US" w:eastAsia="zh-CN"/>
        </w:rPr>
        <w:t>购入和输出电量</w:t>
      </w:r>
    </w:p>
    <w:p>
      <w:pPr>
        <w:pStyle w:val="159"/>
        <w:ind w:firstLine="420"/>
        <w:rPr>
          <w:rFonts w:ascii="Times New Roman"/>
        </w:rPr>
      </w:pPr>
      <w:r>
        <w:rPr>
          <w:rFonts w:ascii="Times New Roman"/>
        </w:rPr>
        <w:t>企业应按GB 17167</w:t>
      </w:r>
      <w:r>
        <w:rPr>
          <w:rFonts w:hint="eastAsia" w:ascii="Times New Roman"/>
        </w:rPr>
        <w:t>和</w:t>
      </w:r>
      <w:r>
        <w:rPr>
          <w:rFonts w:ascii="Times New Roman"/>
        </w:rPr>
        <w:t>GB/T 24851的要求配备电能表，不同类型的电能表计量要求见表3。</w:t>
      </w:r>
    </w:p>
    <w:p>
      <w:pPr>
        <w:pStyle w:val="168"/>
        <w:spacing w:before="156" w:after="156"/>
        <w:rPr>
          <w:rFonts w:ascii="Times New Roman"/>
        </w:rPr>
      </w:pPr>
      <w:r>
        <w:rPr>
          <w:rFonts w:ascii="Times New Roman"/>
        </w:rPr>
        <w:t>电能表计量要求</w:t>
      </w:r>
    </w:p>
    <w:tbl>
      <w:tblPr>
        <w:tblStyle w:val="38"/>
        <w:tblW w:w="48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88"/>
        <w:gridCol w:w="1217"/>
        <w:gridCol w:w="1101"/>
        <w:gridCol w:w="1279"/>
        <w:gridCol w:w="981"/>
        <w:gridCol w:w="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116" w:type="pct"/>
            <w:vAlign w:val="center"/>
          </w:tcPr>
          <w:p>
            <w:pPr>
              <w:pStyle w:val="26"/>
              <w:ind w:firstLine="0" w:firstLineChars="0"/>
              <w:jc w:val="center"/>
              <w:rPr>
                <w:rFonts w:ascii="Times New Roman"/>
                <w:b/>
                <w:bCs/>
                <w:sz w:val="18"/>
                <w:szCs w:val="18"/>
              </w:rPr>
            </w:pPr>
            <w:r>
              <w:rPr>
                <w:rFonts w:hint="eastAsia" w:ascii="Times New Roman"/>
                <w:b/>
                <w:bCs/>
                <w:sz w:val="18"/>
                <w:szCs w:val="18"/>
              </w:rPr>
              <w:t>电能表类型</w:t>
            </w:r>
          </w:p>
        </w:tc>
        <w:tc>
          <w:tcPr>
            <w:tcW w:w="630"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准确度等级</w:t>
            </w:r>
          </w:p>
        </w:tc>
        <w:tc>
          <w:tcPr>
            <w:tcW w:w="570" w:type="pct"/>
            <w:vAlign w:val="center"/>
          </w:tcPr>
          <w:p>
            <w:pPr>
              <w:pStyle w:val="60"/>
              <w:numPr>
                <w:ilvl w:val="0"/>
                <w:numId w:val="0"/>
              </w:numPr>
              <w:spacing w:before="0" w:beforeLines="0" w:after="0" w:afterLines="0"/>
              <w:jc w:val="center"/>
              <w:outlineLvl w:val="9"/>
              <w:rPr>
                <w:rFonts w:ascii="Times New Roman" w:eastAsia="宋体"/>
                <w:b/>
                <w:sz w:val="18"/>
                <w:szCs w:val="18"/>
              </w:rPr>
            </w:pPr>
            <w:r>
              <w:rPr>
                <w:rFonts w:ascii="Times New Roman" w:eastAsia="宋体"/>
                <w:b/>
                <w:sz w:val="18"/>
                <w:szCs w:val="18"/>
              </w:rPr>
              <w:t>计量设备</w:t>
            </w:r>
          </w:p>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溯源方式</w:t>
            </w:r>
          </w:p>
        </w:tc>
        <w:tc>
          <w:tcPr>
            <w:tcW w:w="662"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溯源频次</w:t>
            </w:r>
          </w:p>
        </w:tc>
        <w:tc>
          <w:tcPr>
            <w:tcW w:w="508"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计量频次</w:t>
            </w:r>
          </w:p>
        </w:tc>
        <w:tc>
          <w:tcPr>
            <w:tcW w:w="512"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记录频次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116" w:type="pct"/>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用能单位变压器容量≥2000kV·A</w:t>
            </w:r>
          </w:p>
        </w:tc>
        <w:tc>
          <w:tcPr>
            <w:tcW w:w="630" w:type="pct"/>
            <w:vAlign w:val="center"/>
          </w:tcPr>
          <w:p>
            <w:pPr>
              <w:pStyle w:val="60"/>
              <w:numPr>
                <w:ilvl w:val="0"/>
                <w:numId w:val="0"/>
              </w:numPr>
              <w:spacing w:before="0" w:beforeLines="0" w:after="0" w:afterLines="0"/>
              <w:jc w:val="center"/>
              <w:outlineLvl w:val="9"/>
              <w:rPr>
                <w:rFonts w:ascii="Times New Roman" w:eastAsia="宋体"/>
                <w:b/>
                <w:sz w:val="18"/>
                <w:szCs w:val="18"/>
              </w:rPr>
            </w:pPr>
            <w:r>
              <w:rPr>
                <w:rFonts w:ascii="Times New Roman" w:eastAsia="宋体"/>
                <w:sz w:val="18"/>
                <w:szCs w:val="18"/>
              </w:rPr>
              <w:t>0.5</w:t>
            </w:r>
          </w:p>
        </w:tc>
        <w:tc>
          <w:tcPr>
            <w:tcW w:w="570"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检定/校准</w:t>
            </w:r>
          </w:p>
        </w:tc>
        <w:tc>
          <w:tcPr>
            <w:tcW w:w="662"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1次/12个月</w:t>
            </w:r>
          </w:p>
        </w:tc>
        <w:tc>
          <w:tcPr>
            <w:tcW w:w="508"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连续</w:t>
            </w:r>
          </w:p>
        </w:tc>
        <w:tc>
          <w:tcPr>
            <w:tcW w:w="512"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pct"/>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315kV·A≤用能单位变压器容量＜2000kV·A</w:t>
            </w:r>
          </w:p>
        </w:tc>
        <w:tc>
          <w:tcPr>
            <w:tcW w:w="630"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1.0</w:t>
            </w:r>
          </w:p>
        </w:tc>
        <w:tc>
          <w:tcPr>
            <w:tcW w:w="570" w:type="pct"/>
            <w:vAlign w:val="center"/>
          </w:tcPr>
          <w:p>
            <w:pPr>
              <w:pStyle w:val="60"/>
              <w:numPr>
                <w:ilvl w:val="0"/>
                <w:numId w:val="0"/>
              </w:numPr>
              <w:spacing w:before="0" w:beforeLines="0" w:after="0" w:afterLines="0"/>
              <w:jc w:val="center"/>
              <w:outlineLvl w:val="9"/>
              <w:rPr>
                <w:rFonts w:ascii="Times New Roman" w:eastAsia="宋体"/>
                <w:b/>
                <w:sz w:val="18"/>
                <w:szCs w:val="18"/>
              </w:rPr>
            </w:pPr>
            <w:r>
              <w:rPr>
                <w:rFonts w:ascii="Times New Roman" w:eastAsia="宋体"/>
                <w:sz w:val="18"/>
                <w:szCs w:val="18"/>
              </w:rPr>
              <w:t>检定/校准</w:t>
            </w:r>
          </w:p>
        </w:tc>
        <w:tc>
          <w:tcPr>
            <w:tcW w:w="662" w:type="pct"/>
            <w:vAlign w:val="center"/>
          </w:tcPr>
          <w:p>
            <w:pPr>
              <w:pStyle w:val="60"/>
              <w:numPr>
                <w:ilvl w:val="0"/>
                <w:numId w:val="0"/>
              </w:numPr>
              <w:spacing w:before="0" w:beforeLines="0" w:after="0" w:afterLines="0"/>
              <w:jc w:val="center"/>
              <w:outlineLvl w:val="9"/>
              <w:rPr>
                <w:rFonts w:ascii="Times New Roman" w:eastAsia="宋体"/>
                <w:b/>
                <w:sz w:val="18"/>
                <w:szCs w:val="18"/>
              </w:rPr>
            </w:pPr>
            <w:r>
              <w:rPr>
                <w:rFonts w:ascii="Times New Roman" w:eastAsia="宋体"/>
                <w:sz w:val="18"/>
                <w:szCs w:val="18"/>
              </w:rPr>
              <w:t>1次/12个月</w:t>
            </w:r>
          </w:p>
        </w:tc>
        <w:tc>
          <w:tcPr>
            <w:tcW w:w="508"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连续</w:t>
            </w:r>
          </w:p>
        </w:tc>
        <w:tc>
          <w:tcPr>
            <w:tcW w:w="512"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116" w:type="pct"/>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用能单位变压器容量&lt;315kV·A 或单相供电</w:t>
            </w:r>
          </w:p>
        </w:tc>
        <w:tc>
          <w:tcPr>
            <w:tcW w:w="630"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2.0</w:t>
            </w:r>
          </w:p>
        </w:tc>
        <w:tc>
          <w:tcPr>
            <w:tcW w:w="570" w:type="pct"/>
            <w:vAlign w:val="center"/>
          </w:tcPr>
          <w:p>
            <w:pPr>
              <w:pStyle w:val="60"/>
              <w:numPr>
                <w:ilvl w:val="0"/>
                <w:numId w:val="0"/>
              </w:numPr>
              <w:spacing w:before="0" w:beforeLines="0" w:after="0" w:afterLines="0"/>
              <w:jc w:val="center"/>
              <w:outlineLvl w:val="9"/>
              <w:rPr>
                <w:rFonts w:ascii="Times New Roman" w:eastAsia="宋体"/>
                <w:b/>
                <w:sz w:val="18"/>
                <w:szCs w:val="18"/>
              </w:rPr>
            </w:pPr>
            <w:r>
              <w:rPr>
                <w:rFonts w:ascii="Times New Roman" w:eastAsia="宋体"/>
                <w:sz w:val="18"/>
                <w:szCs w:val="18"/>
              </w:rPr>
              <w:t>检定/校准</w:t>
            </w:r>
          </w:p>
        </w:tc>
        <w:tc>
          <w:tcPr>
            <w:tcW w:w="662" w:type="pct"/>
            <w:vAlign w:val="center"/>
          </w:tcPr>
          <w:p>
            <w:pPr>
              <w:pStyle w:val="60"/>
              <w:numPr>
                <w:ilvl w:val="0"/>
                <w:numId w:val="0"/>
              </w:numPr>
              <w:spacing w:before="0" w:beforeLines="0" w:after="0" w:afterLines="0"/>
              <w:jc w:val="center"/>
              <w:outlineLvl w:val="9"/>
              <w:rPr>
                <w:rFonts w:ascii="Times New Roman" w:eastAsia="宋体"/>
                <w:b/>
                <w:sz w:val="18"/>
                <w:szCs w:val="18"/>
              </w:rPr>
            </w:pPr>
            <w:r>
              <w:rPr>
                <w:rFonts w:ascii="Times New Roman" w:eastAsia="宋体"/>
                <w:sz w:val="18"/>
                <w:szCs w:val="18"/>
              </w:rPr>
              <w:t>1次/12个月</w:t>
            </w:r>
          </w:p>
        </w:tc>
        <w:tc>
          <w:tcPr>
            <w:tcW w:w="508"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连续</w:t>
            </w:r>
          </w:p>
        </w:tc>
        <w:tc>
          <w:tcPr>
            <w:tcW w:w="512" w:type="pct"/>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每月</w:t>
            </w:r>
          </w:p>
        </w:tc>
      </w:tr>
    </w:tbl>
    <w:p>
      <w:pPr>
        <w:pStyle w:val="159"/>
        <w:ind w:firstLine="420"/>
        <w:rPr>
          <w:rFonts w:hint="eastAsia" w:ascii="Times New Roman"/>
        </w:rPr>
      </w:pPr>
    </w:p>
    <w:p>
      <w:pPr>
        <w:pStyle w:val="159"/>
        <w:ind w:firstLine="420"/>
        <w:rPr>
          <w:rFonts w:ascii="Times New Roman"/>
        </w:rPr>
      </w:pPr>
      <w:r>
        <w:rPr>
          <w:rFonts w:hint="eastAsia" w:ascii="Times New Roman"/>
        </w:rPr>
        <w:t>购入</w:t>
      </w:r>
      <w:r>
        <w:rPr>
          <w:rFonts w:hint="eastAsia" w:ascii="Times New Roman"/>
          <w:lang w:val="en-US" w:eastAsia="zh-CN"/>
        </w:rPr>
        <w:t>和输出</w:t>
      </w:r>
      <w:r>
        <w:rPr>
          <w:rFonts w:hint="eastAsia" w:ascii="Times New Roman"/>
        </w:rPr>
        <w:t>电量根据电表记录的读数统计，读数不可获取时采用结算凭证上的数据</w:t>
      </w:r>
      <w:r>
        <w:rPr>
          <w:rFonts w:ascii="Times New Roman"/>
        </w:rPr>
        <w:t>。</w:t>
      </w:r>
    </w:p>
    <w:p>
      <w:pPr>
        <w:pStyle w:val="159"/>
        <w:ind w:firstLine="420"/>
        <w:rPr>
          <w:rFonts w:ascii="Times New Roman"/>
        </w:rPr>
      </w:pPr>
      <w:r>
        <w:rPr>
          <w:rFonts w:hint="eastAsia" w:ascii="Times New Roman"/>
        </w:rPr>
        <w:t>通过市场化交易购入使用的非化石能源电力消费量，是指以交易方式购买并实际执行、结算的电量，应提供发电与用电双方签订的市场化交易合同（对于无法提供合同的，应同时提供交易承诺书、交易公告和交易结果），以及按合同执行的绿色电力证书交易凭证和由省级及以上电力交易机构出具的交易结算凭证。交易结算凭证应载明在核算与报告周期内的月度结算电量及其项目类型、发电企业名称、用电企业名称等。绿色电力证书交易凭证载明的内容应包括项目名称、项目代码、项目类型、项目所在地、电量生产日期等。存量常规水电</w:t>
      </w:r>
      <w:r>
        <w:rPr>
          <w:rFonts w:hint="default" w:ascii="Times New Roman" w:hAnsi="Times New Roman" w:cs="Times New Roman"/>
          <w:vertAlign w:val="superscript"/>
        </w:rPr>
        <w:t>[</w:t>
      </w:r>
      <w:r>
        <w:rPr>
          <w:rStyle w:val="47"/>
          <w:rFonts w:hint="default" w:ascii="Times New Roman" w:hAnsi="Times New Roman" w:cs="Times New Roman"/>
        </w:rPr>
        <w:footnoteReference w:id="0"/>
      </w:r>
      <w:r>
        <w:rPr>
          <w:rFonts w:hint="default" w:ascii="Times New Roman" w:hAnsi="Times New Roman" w:cs="Times New Roman"/>
          <w:vertAlign w:val="superscript"/>
        </w:rPr>
        <w:t>]</w:t>
      </w:r>
      <w:r>
        <w:rPr>
          <w:rFonts w:hint="eastAsia" w:ascii="Times New Roman"/>
        </w:rPr>
        <w:t>和核电可不提供绿色电力证书交易凭证。</w:t>
      </w:r>
    </w:p>
    <w:p>
      <w:pPr>
        <w:pStyle w:val="65"/>
        <w:bidi w:val="0"/>
        <w:ind w:left="0" w:leftChars="0" w:firstLine="0" w:firstLineChars="0"/>
        <w:rPr>
          <w:rFonts w:hint="eastAsia" w:ascii="Times New Roman"/>
          <w:lang w:val="en-US" w:eastAsia="zh-CN"/>
        </w:rPr>
      </w:pPr>
      <w:r>
        <w:rPr>
          <w:rFonts w:hint="eastAsia" w:ascii="Times New Roman"/>
          <w:lang w:val="en-US" w:eastAsia="zh-CN"/>
        </w:rPr>
        <w:t>电力排放因子</w:t>
      </w:r>
    </w:p>
    <w:p>
      <w:pPr>
        <w:pStyle w:val="159"/>
        <w:ind w:firstLine="420"/>
        <w:rPr>
          <w:rFonts w:ascii="Times New Roman"/>
        </w:rPr>
      </w:pPr>
      <w:r>
        <w:rPr>
          <w:rFonts w:hint="eastAsia" w:ascii="Times New Roman"/>
        </w:rPr>
        <w:t>电力排放因子采用生态环境部最新发布的数值</w:t>
      </w:r>
      <w:r>
        <w:rPr>
          <w:rFonts w:ascii="Times New Roman"/>
        </w:rPr>
        <w:t>。</w:t>
      </w:r>
    </w:p>
    <w:p>
      <w:pPr>
        <w:pStyle w:val="56"/>
        <w:bidi w:val="0"/>
        <w:ind w:left="0" w:leftChars="0" w:firstLine="0" w:firstLineChars="0"/>
        <w:rPr>
          <w:rFonts w:hint="eastAsia" w:ascii="Times New Roman"/>
        </w:rPr>
      </w:pPr>
      <w:bookmarkStart w:id="95" w:name="_Toc11986"/>
      <w:bookmarkStart w:id="96" w:name="_Toc8897"/>
      <w:r>
        <w:rPr>
          <w:rFonts w:hint="eastAsia" w:ascii="Times New Roman"/>
        </w:rPr>
        <w:t>净购入使用热力产生的排放</w:t>
      </w:r>
      <w:bookmarkEnd w:id="95"/>
      <w:bookmarkEnd w:id="96"/>
    </w:p>
    <w:p>
      <w:pPr>
        <w:pStyle w:val="60"/>
        <w:bidi w:val="0"/>
        <w:ind w:left="0" w:leftChars="0" w:firstLine="0" w:firstLineChars="0"/>
        <w:rPr>
          <w:rFonts w:hint="eastAsia" w:ascii="Times New Roman"/>
        </w:rPr>
      </w:pPr>
      <w:r>
        <w:rPr>
          <w:rFonts w:hint="eastAsia" w:ascii="Times New Roman"/>
        </w:rPr>
        <w:t>计算公式</w:t>
      </w:r>
    </w:p>
    <w:p>
      <w:pPr>
        <w:pStyle w:val="159"/>
        <w:spacing w:before="156" w:beforeLines="50"/>
        <w:ind w:firstLine="420"/>
        <w:rPr>
          <w:rFonts w:ascii="Times New Roman"/>
        </w:rPr>
      </w:pPr>
      <w:r>
        <w:rPr>
          <w:rFonts w:ascii="Times New Roman"/>
        </w:rPr>
        <w:t>企业</w:t>
      </w:r>
      <w:r>
        <w:rPr>
          <w:rFonts w:hint="eastAsia" w:ascii="Times New Roman"/>
        </w:rPr>
        <w:t>净购入使用</w:t>
      </w:r>
      <w:r>
        <w:rPr>
          <w:rFonts w:ascii="Times New Roman"/>
        </w:rPr>
        <w:t>热力产生的二氧化碳排放量按</w:t>
      </w:r>
      <w:r>
        <w:rPr>
          <w:rFonts w:hint="eastAsia" w:ascii="Times New Roman"/>
          <w:lang w:eastAsia="zh-CN"/>
        </w:rPr>
        <w:t>公式（</w:t>
      </w:r>
      <w:r>
        <w:rPr>
          <w:rFonts w:hint="eastAsia" w:ascii="Times New Roman"/>
          <w:lang w:val="en-US" w:eastAsia="zh-CN"/>
        </w:rPr>
        <w:t>8</w:t>
      </w:r>
      <w:r>
        <w:rPr>
          <w:rFonts w:ascii="Times New Roman"/>
        </w:rPr>
        <w:t>）计算</w:t>
      </w:r>
      <w:r>
        <w:rPr>
          <w:rFonts w:hint="eastAsia" w:ascii="Times New Roman"/>
        </w:rPr>
        <w:t>：</w:t>
      </w:r>
    </w:p>
    <w:p>
      <w:pPr>
        <w:pStyle w:val="166"/>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热</m:t>
            </m:r>
            <m:ctrlPr>
              <w:rPr>
                <w:rFonts w:ascii="Cambria Math" w:hAnsi="Cambria Math"/>
                <w:i/>
              </w:rPr>
            </m:ctrlPr>
          </m:sub>
        </m:sSub>
        <m:r>
          <m:rPr/>
          <w:rPr>
            <w:rFonts w:ascii="Cambria Math" w:hAnsi="Cambria Math"/>
          </w:rPr>
          <m:t>=</m:t>
        </m:r>
        <m:r>
          <m:rPr/>
          <w:rPr>
            <w:rFonts w:hint="eastAsia" w:ascii="Cambria Math" w:hAnsi="Cambria Math"/>
            <w:lang w:eastAsia="zh-CN"/>
          </w:rPr>
          <m:t>（</m:t>
        </m:r>
        <m:r>
          <m:rPr/>
          <w:rPr>
            <w:rFonts w:ascii="Cambria Math" w:hAnsi="Cambria Math"/>
          </w:rPr>
          <m:t>A</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hint="eastAsia" w:ascii="Cambria Math" w:hAnsi="Cambria Math"/>
                <w:lang w:val="en-US" w:eastAsia="zh-CN"/>
              </w:rPr>
              <m:t>购入</m:t>
            </m:r>
            <m:r>
              <m:rPr/>
              <w:rPr>
                <w:rFonts w:ascii="Cambria Math" w:hAnsi="Cambria Math"/>
              </w:rPr>
              <m:t>热</m:t>
            </m:r>
            <m:ctrlPr>
              <w:rPr>
                <w:rFonts w:ascii="Cambria Math" w:hAnsi="Cambria Math"/>
                <w:i/>
              </w:rPr>
            </m:ctrlPr>
          </m:sub>
        </m:sSub>
        <m:r>
          <m:rPr/>
          <w:rPr>
            <w:rFonts w:hint="default" w:ascii="Cambria Math" w:hAnsi="Cambria Math"/>
            <w:lang w:val="en-US" w:eastAsia="zh-CN"/>
          </w:rPr>
          <m:t>−</m:t>
        </m:r>
        <m:r>
          <m:rPr/>
          <w:rPr>
            <w:rFonts w:ascii="Cambria Math" w:hAnsi="Cambria Math"/>
          </w:rPr>
          <m:t>A</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hint="eastAsia" w:ascii="Cambria Math" w:hAnsi="Cambria Math"/>
                <w:lang w:val="en-US" w:eastAsia="zh-CN"/>
              </w:rPr>
              <m:t>输出</m:t>
            </m:r>
            <m:r>
              <m:rPr/>
              <w:rPr>
                <w:rFonts w:ascii="Cambria Math" w:hAnsi="Cambria Math"/>
              </w:rPr>
              <m:t>热</m:t>
            </m:r>
            <m:ctrlPr>
              <w:rPr>
                <w:rFonts w:ascii="Cambria Math" w:hAnsi="Cambria Math"/>
                <w:i/>
              </w:rPr>
            </m:ctrlPr>
          </m:sub>
        </m:sSub>
        <m:r>
          <m:rPr/>
          <w:rPr>
            <w:rFonts w:hint="eastAsia" w:ascii="Cambria Math" w:hAnsi="Cambria Math"/>
            <w:lang w:eastAsia="zh-CN"/>
          </w:rPr>
          <m:t>）</m:t>
        </m:r>
        <m:r>
          <m:rPr/>
          <w:rPr>
            <w:rFonts w:ascii="Cambria Math" w:hAnsi="Cambria Math"/>
          </w:rPr>
          <m:t>×E</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热</m:t>
            </m:r>
            <m:ctrlPr>
              <w:rPr>
                <w:rFonts w:ascii="Cambria Math" w:hAnsi="Cambria Math"/>
                <w:i/>
              </w:rPr>
            </m:ctrlPr>
          </m:sub>
        </m:sSub>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8</w:t>
      </w:r>
      <w:r>
        <w:rPr>
          <w:rFonts w:hint="eastAsia" w:ascii="Times New Roman" w:hAnsi="Times New Roman"/>
        </w:rPr>
        <w:t>）</w:t>
      </w:r>
    </w:p>
    <w:p>
      <w:pPr>
        <w:pStyle w:val="167"/>
        <w:ind w:firstLine="420"/>
        <w:rPr>
          <w:rFonts w:ascii="Times New Roman" w:hAnsi="Times New Roman"/>
        </w:rPr>
      </w:pPr>
      <w:r>
        <w:rPr>
          <w:rFonts w:ascii="Times New Roman" w:hAnsi="Times New Roman"/>
        </w:rPr>
        <w:t>式中：</w:t>
      </w:r>
    </w:p>
    <w:tbl>
      <w:tblPr>
        <w:tblStyle w:val="39"/>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7"/>
        <w:gridCol w:w="340"/>
        <w:gridCol w:w="7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07" w:type="dxa"/>
            <w:vAlign w:val="top"/>
          </w:tcPr>
          <w:p>
            <w:pPr>
              <w:pStyle w:val="159"/>
              <w:adjustRightInd w:val="0"/>
              <w:snapToGrid w:val="0"/>
              <w:ind w:firstLine="0" w:firstLineChars="0"/>
              <w:rPr>
                <w:rFonts w:hint="eastAsia" w:ascii="Cambria Math" w:hAnsi="Cambria Math"/>
                <w:i/>
                <w:szCs w:val="18"/>
                <w:oMath/>
              </w:rPr>
            </w:pPr>
            <m:oMathPara>
              <m:oMathParaPr>
                <m:jc m:val="left"/>
              </m:oMathParaPr>
              <m:oMath>
                <m:sSub>
                  <m:sSubPr>
                    <m:ctrlPr>
                      <w:rPr>
                        <w:rFonts w:ascii="Cambria Math" w:hAnsi="Cambria Math"/>
                        <w:i/>
                        <w:iCs/>
                        <w:szCs w:val="18"/>
                      </w:rPr>
                    </m:ctrlPr>
                  </m:sSubPr>
                  <m:e>
                    <m:r>
                      <m:rPr/>
                      <w:rPr>
                        <w:rFonts w:ascii="Cambria Math" w:hAnsi="Cambria Math"/>
                        <w:szCs w:val="18"/>
                      </w:rPr>
                      <m:t>E</m:t>
                    </m:r>
                    <m:ctrlPr>
                      <w:rPr>
                        <w:rFonts w:ascii="Cambria Math" w:hAnsi="Cambria Math"/>
                        <w:i/>
                        <w:iCs/>
                        <w:szCs w:val="18"/>
                      </w:rPr>
                    </m:ctrlPr>
                  </m:e>
                  <m:sub>
                    <m:r>
                      <m:rPr/>
                      <w:rPr>
                        <w:rFonts w:ascii="Cambria Math" w:hAnsi="Cambria Math"/>
                        <w:szCs w:val="18"/>
                      </w:rPr>
                      <m:t>热</m:t>
                    </m:r>
                    <m:ctrlPr>
                      <w:rPr>
                        <w:rFonts w:ascii="Cambria Math" w:hAnsi="Cambria Math"/>
                        <w:i/>
                        <w:iCs/>
                        <w:szCs w:val="18"/>
                      </w:rPr>
                    </m:ctrlPr>
                  </m:sub>
                </m:sSub>
              </m:oMath>
            </m:oMathPara>
          </w:p>
        </w:tc>
        <w:tc>
          <w:tcPr>
            <w:tcW w:w="340" w:type="dxa"/>
            <w:vAlign w:val="top"/>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880" w:type="dxa"/>
            <w:vAlign w:val="top"/>
          </w:tcPr>
          <w:p>
            <w:pPr>
              <w:pStyle w:val="159"/>
              <w:adjustRightInd w:val="0"/>
              <w:snapToGrid w:val="0"/>
              <w:ind w:left="-105" w:leftChars="-50" w:firstLine="0" w:firstLineChars="0"/>
              <w:rPr>
                <w:rFonts w:ascii="Times New Roman"/>
                <w:szCs w:val="18"/>
              </w:rPr>
            </w:pPr>
            <w:r>
              <w:rPr>
                <w:rFonts w:hint="eastAsia" w:ascii="Times New Roman"/>
                <w:szCs w:val="18"/>
              </w:rPr>
              <w:t>企业净</w:t>
            </w:r>
            <w:r>
              <w:rPr>
                <w:rFonts w:ascii="Times New Roman"/>
                <w:szCs w:val="18"/>
              </w:rPr>
              <w:t>购入热力产生的二氧化碳排放量，</w:t>
            </w:r>
            <w:r>
              <w:rPr>
                <w:rFonts w:hint="eastAsia" w:ascii="Times New Roman"/>
                <w:szCs w:val="18"/>
              </w:rPr>
              <w:t>以</w:t>
            </w:r>
            <w:r>
              <w:rPr>
                <w:rFonts w:ascii="Times New Roman"/>
                <w:szCs w:val="18"/>
              </w:rPr>
              <w:t>吨二氧化碳（tCO</w:t>
            </w:r>
            <w:r>
              <w:rPr>
                <w:rFonts w:ascii="Times New Roman"/>
                <w:szCs w:val="18"/>
                <w:vertAlign w:val="subscript"/>
              </w:rPr>
              <w:t>2</w:t>
            </w:r>
            <w:r>
              <w:rPr>
                <w:rFonts w:ascii="Times New Roman"/>
                <w:szCs w:val="18"/>
              </w:rPr>
              <w:t>）</w:t>
            </w:r>
            <w:r>
              <w:rPr>
                <w:rFonts w:hint="eastAsia" w:ascii="Times New Roman"/>
                <w:szCs w:val="18"/>
              </w:rPr>
              <w:t>计</w:t>
            </w:r>
            <w:r>
              <w:rPr>
                <w:rFonts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07" w:type="dxa"/>
            <w:vAlign w:val="top"/>
          </w:tcPr>
          <w:p>
            <w:pPr>
              <w:pStyle w:val="159"/>
              <w:adjustRightInd w:val="0"/>
              <w:snapToGrid w:val="0"/>
              <w:ind w:firstLine="0" w:firstLineChars="0"/>
              <w:rPr>
                <w:rFonts w:ascii="Times New Roman"/>
                <w:szCs w:val="18"/>
              </w:rPr>
            </w:pPr>
            <m:oMathPara>
              <m:oMathParaPr>
                <m:jc m:val="left"/>
              </m:oMathParaPr>
              <m:oMath>
                <m:r>
                  <m:rPr/>
                  <w:rPr>
                    <w:rFonts w:ascii="Cambria Math" w:hAnsi="Cambria Math"/>
                    <w:szCs w:val="18"/>
                  </w:rPr>
                  <m:t>A</m:t>
                </m:r>
                <m:sSub>
                  <m:sSubPr>
                    <m:ctrlPr>
                      <w:rPr>
                        <w:rFonts w:ascii="Cambria Math" w:hAnsi="Cambria Math"/>
                        <w:i/>
                        <w:iCs/>
                        <w:szCs w:val="21"/>
                      </w:rPr>
                    </m:ctrlPr>
                  </m:sSubPr>
                  <m:e>
                    <m:r>
                      <m:rPr/>
                      <w:rPr>
                        <w:rFonts w:ascii="Cambria Math" w:hAnsi="Cambria Math"/>
                        <w:szCs w:val="18"/>
                      </w:rPr>
                      <m:t>D</m:t>
                    </m:r>
                    <m:ctrlPr>
                      <w:rPr>
                        <w:rFonts w:ascii="Cambria Math" w:hAnsi="Cambria Math"/>
                        <w:i/>
                        <w:iCs/>
                        <w:szCs w:val="21"/>
                      </w:rPr>
                    </m:ctrlPr>
                  </m:e>
                  <m:sub>
                    <m:r>
                      <m:rPr/>
                      <w:rPr>
                        <w:rFonts w:hint="eastAsia" w:ascii="Cambria Math" w:hAnsi="Cambria Math" w:cs="宋体"/>
                        <w:szCs w:val="18"/>
                      </w:rPr>
                      <m:t>购入热</m:t>
                    </m:r>
                    <m:ctrlPr>
                      <w:rPr>
                        <w:rFonts w:ascii="Cambria Math" w:hAnsi="Cambria Math"/>
                        <w:i/>
                        <w:iCs/>
                        <w:szCs w:val="21"/>
                      </w:rPr>
                    </m:ctrlPr>
                  </m:sub>
                </m:sSub>
              </m:oMath>
            </m:oMathPara>
          </w:p>
        </w:tc>
        <w:tc>
          <w:tcPr>
            <w:tcW w:w="340" w:type="dxa"/>
            <w:vAlign w:val="top"/>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880" w:type="dxa"/>
            <w:vAlign w:val="top"/>
          </w:tcPr>
          <w:p>
            <w:pPr>
              <w:pStyle w:val="159"/>
              <w:adjustRightInd w:val="0"/>
              <w:snapToGrid w:val="0"/>
              <w:ind w:left="-105" w:leftChars="-50" w:firstLine="0" w:firstLineChars="0"/>
              <w:rPr>
                <w:rFonts w:ascii="Times New Roman"/>
                <w:szCs w:val="18"/>
              </w:rPr>
            </w:pPr>
            <w:r>
              <w:rPr>
                <w:rFonts w:ascii="Times New Roman"/>
                <w:szCs w:val="18"/>
              </w:rPr>
              <w:t>核算和报告期内</w:t>
            </w:r>
            <w:r>
              <w:rPr>
                <w:rFonts w:hint="eastAsia"/>
                <w:szCs w:val="21"/>
              </w:rPr>
              <w:t>购入的总热量</w:t>
            </w:r>
            <w:r>
              <w:rPr>
                <w:rFonts w:ascii="Times New Roman"/>
                <w:szCs w:val="18"/>
              </w:rPr>
              <w:t>，</w:t>
            </w:r>
            <w:r>
              <w:rPr>
                <w:rFonts w:hint="eastAsia" w:ascii="Times New Roman"/>
                <w:szCs w:val="18"/>
              </w:rPr>
              <w:t>以</w:t>
            </w:r>
            <w:r>
              <w:rPr>
                <w:rFonts w:ascii="Times New Roman"/>
                <w:szCs w:val="18"/>
              </w:rPr>
              <w:t>吉焦（GJ）</w:t>
            </w:r>
            <w:r>
              <w:rPr>
                <w:rFonts w:hint="eastAsia" w:ascii="Times New Roman"/>
                <w:szCs w:val="18"/>
              </w:rPr>
              <w:t>计，可</w:t>
            </w:r>
            <w:r>
              <w:rPr>
                <w:rFonts w:ascii="Times New Roman"/>
                <w:szCs w:val="18"/>
              </w:rPr>
              <w:t>按</w:t>
            </w:r>
            <w:r>
              <w:rPr>
                <w:rFonts w:hint="eastAsia" w:ascii="Times New Roman"/>
                <w:szCs w:val="18"/>
                <w:lang w:eastAsia="zh-CN"/>
              </w:rPr>
              <w:t>公式（</w:t>
            </w:r>
            <w:r>
              <w:rPr>
                <w:rFonts w:hint="eastAsia" w:ascii="Times New Roman"/>
                <w:szCs w:val="18"/>
                <w:lang w:val="en-US" w:eastAsia="zh-CN"/>
              </w:rPr>
              <w:t>9</w:t>
            </w:r>
            <w:r>
              <w:rPr>
                <w:rFonts w:ascii="Times New Roman"/>
                <w:szCs w:val="18"/>
              </w:rPr>
              <w:t>）</w:t>
            </w:r>
            <w:r>
              <w:rPr>
                <w:rFonts w:hint="eastAsia" w:ascii="Times New Roman"/>
                <w:szCs w:val="18"/>
              </w:rPr>
              <w:t>或</w:t>
            </w:r>
            <w:r>
              <w:rPr>
                <w:rFonts w:hint="eastAsia" w:ascii="Times New Roman"/>
                <w:szCs w:val="18"/>
                <w:lang w:eastAsia="zh-CN"/>
              </w:rPr>
              <w:t>公式（</w:t>
            </w:r>
            <w:r>
              <w:rPr>
                <w:rFonts w:hint="eastAsia" w:ascii="Times New Roman"/>
                <w:szCs w:val="18"/>
                <w:lang w:val="en-US" w:eastAsia="zh-CN"/>
              </w:rPr>
              <w:t>10</w:t>
            </w:r>
            <w:r>
              <w:rPr>
                <w:rFonts w:hint="eastAsia" w:ascii="Times New Roman"/>
                <w:szCs w:val="18"/>
              </w:rPr>
              <w:t>）</w:t>
            </w:r>
            <w:r>
              <w:rPr>
                <w:rFonts w:ascii="Times New Roman"/>
                <w:szCs w:val="18"/>
              </w:rPr>
              <w:t>计算</w:t>
            </w:r>
            <w:r>
              <w:rPr>
                <w:rFonts w:hint="eastAsia"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07" w:type="dxa"/>
          </w:tcPr>
          <w:p>
            <w:pPr>
              <w:pStyle w:val="159"/>
              <w:adjustRightInd w:val="0"/>
              <w:snapToGrid w:val="0"/>
              <w:ind w:firstLine="0" w:firstLineChars="0"/>
              <w:rPr>
                <w:rFonts w:ascii="Times New Roman"/>
                <w:szCs w:val="18"/>
              </w:rPr>
            </w:pPr>
            <m:oMathPara>
              <m:oMathParaPr>
                <m:jc m:val="left"/>
              </m:oMathParaPr>
              <m:oMath>
                <m:r>
                  <m:rPr/>
                  <w:rPr>
                    <w:rFonts w:ascii="Cambria Math" w:hAnsi="Cambria Math"/>
                    <w:szCs w:val="18"/>
                  </w:rPr>
                  <m:t>A</m:t>
                </m:r>
                <m:sSub>
                  <m:sSubPr>
                    <m:ctrlPr>
                      <w:rPr>
                        <w:rFonts w:ascii="Cambria Math" w:hAnsi="Cambria Math"/>
                        <w:i/>
                        <w:iCs/>
                        <w:szCs w:val="21"/>
                      </w:rPr>
                    </m:ctrlPr>
                  </m:sSubPr>
                  <m:e>
                    <m:r>
                      <m:rPr/>
                      <w:rPr>
                        <w:rFonts w:ascii="Cambria Math" w:hAnsi="Cambria Math"/>
                        <w:szCs w:val="18"/>
                      </w:rPr>
                      <m:t>D</m:t>
                    </m:r>
                    <m:ctrlPr>
                      <w:rPr>
                        <w:rFonts w:ascii="Cambria Math" w:hAnsi="Cambria Math"/>
                        <w:i/>
                        <w:iCs/>
                        <w:szCs w:val="21"/>
                      </w:rPr>
                    </m:ctrlPr>
                  </m:e>
                  <m:sub>
                    <m:r>
                      <m:rPr/>
                      <w:rPr>
                        <w:rFonts w:hint="eastAsia" w:ascii="Cambria Math" w:hAnsi="Cambria Math"/>
                        <w:szCs w:val="21"/>
                        <w:lang w:val="en-US" w:eastAsia="zh-CN"/>
                      </w:rPr>
                      <m:t>输出</m:t>
                    </m:r>
                    <m:r>
                      <m:rPr/>
                      <w:rPr>
                        <w:rFonts w:hint="eastAsia" w:ascii="Cambria Math" w:hAnsi="Cambria Math" w:cs="宋体"/>
                        <w:szCs w:val="18"/>
                      </w:rPr>
                      <m:t>热</m:t>
                    </m:r>
                    <m:ctrlPr>
                      <w:rPr>
                        <w:rFonts w:ascii="Cambria Math" w:hAnsi="Cambria Math"/>
                        <w:i/>
                        <w:iCs/>
                        <w:szCs w:val="21"/>
                      </w:rPr>
                    </m:ctrlPr>
                  </m:sub>
                </m:sSub>
              </m:oMath>
            </m:oMathPara>
          </w:p>
        </w:tc>
        <w:tc>
          <w:tcPr>
            <w:tcW w:w="340" w:type="dxa"/>
            <w:vAlign w:val="top"/>
          </w:tcPr>
          <w:p>
            <w:pPr>
              <w:pStyle w:val="159"/>
              <w:adjustRightInd w:val="0"/>
              <w:snapToGrid w:val="0"/>
              <w:ind w:left="-105" w:leftChars="-50" w:right="-105" w:rightChars="-50" w:firstLine="0" w:firstLineChars="0"/>
              <w:jc w:val="center"/>
              <w:rPr>
                <w:rFonts w:ascii="Times New Roman" w:hAnsi="Times New Roman" w:eastAsia="宋体" w:cs="Times New Roman"/>
                <w:sz w:val="21"/>
                <w:szCs w:val="18"/>
                <w:lang w:val="en-US" w:eastAsia="zh-CN" w:bidi="ar-SA"/>
              </w:rPr>
            </w:pPr>
            <w:r>
              <w:rPr>
                <w:rFonts w:ascii="Times New Roman"/>
                <w:szCs w:val="18"/>
              </w:rPr>
              <w:t>—</w:t>
            </w:r>
          </w:p>
        </w:tc>
        <w:tc>
          <w:tcPr>
            <w:tcW w:w="7880" w:type="dxa"/>
            <w:vAlign w:val="top"/>
          </w:tcPr>
          <w:p>
            <w:pPr>
              <w:pStyle w:val="159"/>
              <w:adjustRightInd w:val="0"/>
              <w:snapToGrid w:val="0"/>
              <w:ind w:left="-105" w:leftChars="-50" w:firstLine="0" w:firstLineChars="0"/>
              <w:rPr>
                <w:rFonts w:ascii="Times New Roman" w:hAnsi="Times New Roman" w:eastAsia="宋体" w:cs="Times New Roman"/>
                <w:sz w:val="21"/>
                <w:szCs w:val="18"/>
                <w:lang w:val="en-US" w:eastAsia="zh-CN" w:bidi="ar-SA"/>
              </w:rPr>
            </w:pPr>
            <w:r>
              <w:rPr>
                <w:rFonts w:ascii="Times New Roman"/>
                <w:szCs w:val="18"/>
              </w:rPr>
              <w:t>核算和报告期内</w:t>
            </w:r>
            <w:r>
              <w:rPr>
                <w:rFonts w:hint="eastAsia" w:ascii="Times New Roman"/>
                <w:szCs w:val="18"/>
                <w:lang w:val="en-US" w:eastAsia="zh-CN"/>
              </w:rPr>
              <w:t>输出</w:t>
            </w:r>
            <w:r>
              <w:rPr>
                <w:rFonts w:hint="eastAsia"/>
                <w:szCs w:val="21"/>
              </w:rPr>
              <w:t>的总热量</w:t>
            </w:r>
            <w:r>
              <w:rPr>
                <w:rFonts w:ascii="Times New Roman"/>
                <w:szCs w:val="18"/>
              </w:rPr>
              <w:t>，</w:t>
            </w:r>
            <w:r>
              <w:rPr>
                <w:rFonts w:hint="eastAsia" w:ascii="Times New Roman"/>
                <w:szCs w:val="18"/>
              </w:rPr>
              <w:t>以</w:t>
            </w:r>
            <w:r>
              <w:rPr>
                <w:rFonts w:ascii="Times New Roman"/>
                <w:szCs w:val="18"/>
              </w:rPr>
              <w:t>吉焦（GJ）</w:t>
            </w:r>
            <w:r>
              <w:rPr>
                <w:rFonts w:hint="eastAsia" w:ascii="Times New Roman"/>
                <w:szCs w:val="18"/>
              </w:rPr>
              <w:t>计，可</w:t>
            </w:r>
            <w:r>
              <w:rPr>
                <w:rFonts w:ascii="Times New Roman"/>
                <w:szCs w:val="18"/>
              </w:rPr>
              <w:t>按</w:t>
            </w:r>
            <w:r>
              <w:rPr>
                <w:rFonts w:hint="eastAsia" w:ascii="Times New Roman"/>
                <w:szCs w:val="18"/>
                <w:lang w:eastAsia="zh-CN"/>
              </w:rPr>
              <w:t>公式（</w:t>
            </w:r>
            <w:r>
              <w:rPr>
                <w:rFonts w:hint="eastAsia" w:ascii="Times New Roman"/>
                <w:szCs w:val="18"/>
                <w:lang w:val="en-US" w:eastAsia="zh-CN"/>
              </w:rPr>
              <w:t>9</w:t>
            </w:r>
            <w:r>
              <w:rPr>
                <w:rFonts w:ascii="Times New Roman"/>
                <w:szCs w:val="18"/>
              </w:rPr>
              <w:t>）</w:t>
            </w:r>
            <w:r>
              <w:rPr>
                <w:rFonts w:hint="eastAsia" w:ascii="Times New Roman"/>
                <w:szCs w:val="18"/>
              </w:rPr>
              <w:t>或</w:t>
            </w:r>
            <w:r>
              <w:rPr>
                <w:rFonts w:hint="eastAsia" w:ascii="Times New Roman"/>
                <w:szCs w:val="18"/>
                <w:lang w:eastAsia="zh-CN"/>
              </w:rPr>
              <w:t>公式（</w:t>
            </w:r>
            <w:r>
              <w:rPr>
                <w:rFonts w:hint="eastAsia" w:ascii="Times New Roman"/>
                <w:szCs w:val="18"/>
                <w:lang w:val="en-US" w:eastAsia="zh-CN"/>
              </w:rPr>
              <w:t>10</w:t>
            </w:r>
            <w:r>
              <w:rPr>
                <w:rFonts w:hint="eastAsia" w:ascii="Times New Roman"/>
                <w:szCs w:val="18"/>
              </w:rPr>
              <w:t>）</w:t>
            </w:r>
            <w:r>
              <w:rPr>
                <w:rFonts w:ascii="Times New Roman"/>
                <w:szCs w:val="18"/>
              </w:rPr>
              <w:t>计算</w:t>
            </w:r>
            <w:r>
              <w:rPr>
                <w:rFonts w:hint="eastAsia"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07" w:type="dxa"/>
            <w:vAlign w:val="top"/>
          </w:tcPr>
          <w:p>
            <w:pPr>
              <w:pStyle w:val="159"/>
              <w:adjustRightInd w:val="0"/>
              <w:snapToGrid w:val="0"/>
              <w:ind w:firstLine="0" w:firstLineChars="0"/>
              <m:rPr/>
              <w:rPr>
                <w:rFonts w:ascii="Times New Roman" w:hAnsi="Times New Roman" w:eastAsia="宋体" w:cs="Times New Roman"/>
                <w:sz w:val="21"/>
                <w:szCs w:val="18"/>
                <w:lang w:val="en-US" w:eastAsia="zh-CN" w:bidi="ar-SA"/>
                <w:oMath/>
              </w:rPr>
            </w:pPr>
            <m:oMathPara>
              <m:oMathParaPr>
                <m:jc m:val="left"/>
              </m:oMathParaPr>
              <m:oMath>
                <m:r>
                  <m:rPr/>
                  <w:rPr>
                    <w:rFonts w:ascii="Cambria Math" w:hAnsi="Cambria Math" w:eastAsia="仿宋_GB2312"/>
                    <w:szCs w:val="18"/>
                  </w:rPr>
                  <m:t>E</m:t>
                </m:r>
                <m:sSub>
                  <m:sSubPr>
                    <m:ctrlPr>
                      <w:rPr>
                        <w:rFonts w:ascii="Cambria Math" w:hAnsi="Cambria Math" w:eastAsia="仿宋_GB2312"/>
                        <w:i/>
                        <w:szCs w:val="18"/>
                      </w:rPr>
                    </m:ctrlPr>
                  </m:sSubPr>
                  <m:e>
                    <m:r>
                      <m:rPr/>
                      <w:rPr>
                        <w:rFonts w:ascii="Cambria Math" w:hAnsi="Cambria Math" w:eastAsia="仿宋_GB2312"/>
                        <w:szCs w:val="18"/>
                      </w:rPr>
                      <m:t>F</m:t>
                    </m:r>
                    <m:ctrlPr>
                      <w:rPr>
                        <w:rFonts w:ascii="Cambria Math" w:hAnsi="Cambria Math" w:eastAsia="仿宋_GB2312"/>
                        <w:i/>
                        <w:szCs w:val="18"/>
                      </w:rPr>
                    </m:ctrlPr>
                  </m:e>
                  <m:sub>
                    <m:r>
                      <m:rPr/>
                      <w:rPr>
                        <w:rFonts w:hint="eastAsia" w:ascii="Cambria Math" w:hAnsi="Cambria Math"/>
                        <w:szCs w:val="18"/>
                      </w:rPr>
                      <m:t>热</m:t>
                    </m:r>
                    <m:ctrlPr>
                      <w:rPr>
                        <w:rFonts w:ascii="Cambria Math" w:hAnsi="Cambria Math" w:eastAsia="仿宋_GB2312"/>
                        <w:i/>
                        <w:szCs w:val="18"/>
                      </w:rPr>
                    </m:ctrlPr>
                  </m:sub>
                </m:sSub>
              </m:oMath>
            </m:oMathPara>
          </w:p>
        </w:tc>
        <w:tc>
          <w:tcPr>
            <w:tcW w:w="340" w:type="dxa"/>
            <w:vAlign w:val="top"/>
          </w:tcPr>
          <w:p>
            <w:pPr>
              <w:pStyle w:val="159"/>
              <w:adjustRightInd w:val="0"/>
              <w:snapToGrid w:val="0"/>
              <w:ind w:left="-105" w:leftChars="-50" w:right="-105" w:rightChars="-50" w:firstLine="0" w:firstLineChars="0"/>
              <w:jc w:val="center"/>
              <w:rPr>
                <w:rFonts w:ascii="Times New Roman" w:hAnsi="Times New Roman" w:eastAsia="宋体" w:cs="Times New Roman"/>
                <w:sz w:val="21"/>
                <w:szCs w:val="18"/>
                <w:lang w:val="en-US" w:eastAsia="zh-CN" w:bidi="ar-SA"/>
              </w:rPr>
            </w:pPr>
            <w:r>
              <w:rPr>
                <w:rFonts w:ascii="Times New Roman"/>
                <w:szCs w:val="18"/>
              </w:rPr>
              <w:t>—</w:t>
            </w:r>
          </w:p>
        </w:tc>
        <w:tc>
          <w:tcPr>
            <w:tcW w:w="7880" w:type="dxa"/>
            <w:vAlign w:val="top"/>
          </w:tcPr>
          <w:p>
            <w:pPr>
              <w:pStyle w:val="159"/>
              <w:adjustRightInd w:val="0"/>
              <w:snapToGrid w:val="0"/>
              <w:ind w:left="-105" w:leftChars="-50" w:firstLine="0" w:firstLineChars="0"/>
              <w:rPr>
                <w:rFonts w:ascii="Times New Roman" w:hAnsi="Times New Roman" w:eastAsia="宋体" w:cs="Times New Roman"/>
                <w:sz w:val="21"/>
                <w:szCs w:val="18"/>
                <w:lang w:val="en-US" w:eastAsia="zh-CN" w:bidi="ar-SA"/>
              </w:rPr>
            </w:pPr>
            <w:r>
              <w:rPr>
                <w:rFonts w:ascii="Times New Roman"/>
                <w:szCs w:val="18"/>
              </w:rPr>
              <w:t>热力的二氧化碳排放因子，</w:t>
            </w:r>
            <w:r>
              <w:rPr>
                <w:rFonts w:hint="eastAsia" w:ascii="Times New Roman"/>
                <w:szCs w:val="18"/>
              </w:rPr>
              <w:t>以</w:t>
            </w:r>
            <w:r>
              <w:rPr>
                <w:rFonts w:ascii="Times New Roman"/>
                <w:szCs w:val="18"/>
              </w:rPr>
              <w:t>吨二氧化碳每吉焦（tCO</w:t>
            </w:r>
            <w:r>
              <w:rPr>
                <w:rFonts w:ascii="Times New Roman"/>
                <w:szCs w:val="18"/>
                <w:vertAlign w:val="subscript"/>
              </w:rPr>
              <w:t>2</w:t>
            </w:r>
            <w:r>
              <w:rPr>
                <w:rFonts w:ascii="Times New Roman"/>
                <w:szCs w:val="18"/>
              </w:rPr>
              <w:t>/GJ）</w:t>
            </w:r>
            <w:r>
              <w:rPr>
                <w:rFonts w:hint="eastAsia" w:ascii="Times New Roman"/>
                <w:szCs w:val="18"/>
              </w:rPr>
              <w:t>计</w:t>
            </w:r>
            <w:r>
              <w:rPr>
                <w:rFonts w:ascii="Times New Roman"/>
                <w:szCs w:val="18"/>
              </w:rPr>
              <w:t>。</w:t>
            </w:r>
          </w:p>
        </w:tc>
      </w:tr>
    </w:tbl>
    <w:p>
      <w:pPr>
        <w:pStyle w:val="26"/>
        <w:rPr>
          <w:rFonts w:ascii="Times New Roman"/>
        </w:rPr>
      </w:pPr>
      <w:r>
        <w:rPr>
          <w:rFonts w:ascii="Times New Roman"/>
        </w:rPr>
        <w:t>以质量单位计量的蒸汽可按式（</w:t>
      </w:r>
      <w:r>
        <w:rPr>
          <w:rFonts w:hint="eastAsia" w:ascii="Times New Roman"/>
          <w:lang w:val="en-US" w:eastAsia="zh-CN"/>
        </w:rPr>
        <w:t>9</w:t>
      </w:r>
      <w:r>
        <w:rPr>
          <w:rFonts w:ascii="Times New Roman"/>
        </w:rPr>
        <w:t>）转换为热量单位。</w:t>
      </w:r>
    </w:p>
    <w:p>
      <w:pPr>
        <w:pStyle w:val="166"/>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AD</m:t>
            </m:r>
            <m:ctrlPr>
              <w:rPr>
                <w:rFonts w:ascii="Cambria Math" w:hAnsi="Cambria Math"/>
                <w:i/>
              </w:rPr>
            </m:ctrlPr>
          </m:e>
          <m:sub>
            <m:r>
              <m:rPr/>
              <w:rPr>
                <w:rFonts w:ascii="Cambria Math" w:hAnsi="Cambria Math"/>
              </w:rPr>
              <m:t>st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Ma</m:t>
            </m:r>
            <m:ctrlPr>
              <w:rPr>
                <w:rFonts w:ascii="Cambria Math" w:hAnsi="Cambria Math"/>
                <w:i/>
              </w:rPr>
            </m:ctrlPr>
          </m:e>
          <m:sub>
            <m:r>
              <m:rPr/>
              <w:rPr>
                <w:rFonts w:ascii="Cambria Math" w:hAnsi="Cambria Math"/>
              </w:rPr>
              <m:t>st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En</m:t>
            </m:r>
            <m:ctrlPr>
              <w:rPr>
                <w:rFonts w:ascii="Cambria Math" w:hAnsi="Cambria Math"/>
                <w:i/>
              </w:rPr>
            </m:ctrlPr>
          </m:e>
          <m:sub>
            <m:r>
              <m:rPr/>
              <w:rPr>
                <w:rFonts w:ascii="Cambria Math" w:hAnsi="Cambria Math"/>
              </w:rPr>
              <m:t>st</m:t>
            </m:r>
            <m:ctrlPr>
              <w:rPr>
                <w:rFonts w:ascii="Cambria Math" w:hAnsi="Cambria Math"/>
                <w:i/>
              </w:rPr>
            </m:ctrlPr>
          </m:sub>
        </m:sSub>
        <m:r>
          <m:rPr/>
          <w:rPr>
            <w:rFonts w:ascii="Cambria Math" w:hAnsi="Cambria Math"/>
          </w:rPr>
          <m:t>−83.74)×</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−3</m:t>
            </m:r>
            <m:ctrlPr>
              <w:rPr>
                <w:rFonts w:ascii="Cambria Math" w:hAnsi="Cambria Math"/>
                <w:i/>
              </w:rPr>
            </m:ctrlPr>
          </m:sup>
        </m:sSup>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9</w:t>
      </w:r>
      <w:r>
        <w:rPr>
          <w:rFonts w:hint="eastAsia" w:ascii="Times New Roman" w:hAnsi="Times New Roman"/>
        </w:rPr>
        <w:t>）</w:t>
      </w:r>
    </w:p>
    <w:p>
      <w:pPr>
        <w:pStyle w:val="26"/>
        <w:rPr>
          <w:rFonts w:ascii="Times New Roman"/>
        </w:rPr>
      </w:pPr>
      <w:r>
        <w:rPr>
          <w:rFonts w:ascii="Times New Roman"/>
        </w:rPr>
        <w:t>式中：</w:t>
      </w:r>
    </w:p>
    <w:tbl>
      <w:tblPr>
        <w:tblStyle w:val="39"/>
        <w:tblW w:w="9128"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4"/>
        <w:gridCol w:w="340"/>
        <w:gridCol w:w="81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24" w:type="dxa"/>
          </w:tcPr>
          <w:p>
            <w:pPr>
              <w:pStyle w:val="159"/>
              <w:adjustRightInd w:val="0"/>
              <w:snapToGrid w:val="0"/>
              <w:ind w:firstLine="0" w:firstLineChars="0"/>
              <w:rPr>
                <w:rFonts w:ascii="Times New Roman"/>
                <w:iCs/>
                <w:szCs w:val="18"/>
              </w:rPr>
            </w:pPr>
            <m:oMathPara>
              <m:oMathParaPr>
                <m:jc m:val="left"/>
              </m:oMathParaPr>
              <m:oMath>
                <m:sSub>
                  <m:sSubPr>
                    <m:ctrlPr>
                      <w:rPr>
                        <w:rFonts w:ascii="Cambria Math" w:hAnsi="Cambria Math"/>
                        <w:i/>
                        <w:szCs w:val="18"/>
                      </w:rPr>
                    </m:ctrlPr>
                  </m:sSubPr>
                  <m:e>
                    <m:r>
                      <m:rPr/>
                      <w:rPr>
                        <w:rFonts w:ascii="Cambria Math" w:hAnsi="Cambria Math"/>
                        <w:szCs w:val="18"/>
                      </w:rPr>
                      <m:t>AD</m:t>
                    </m:r>
                    <m:ctrlPr>
                      <w:rPr>
                        <w:rFonts w:ascii="Cambria Math" w:hAnsi="Cambria Math"/>
                        <w:i/>
                        <w:szCs w:val="18"/>
                      </w:rPr>
                    </m:ctrlPr>
                  </m:e>
                  <m:sub>
                    <m:r>
                      <m:rPr/>
                      <w:rPr>
                        <w:rFonts w:ascii="Cambria Math" w:hAnsi="Cambria Math"/>
                        <w:szCs w:val="18"/>
                      </w:rPr>
                      <m:t>st</m:t>
                    </m:r>
                    <m:ctrlPr>
                      <w:rPr>
                        <w:rFonts w:ascii="Cambria Math" w:hAnsi="Cambria Math"/>
                        <w:i/>
                        <w:szCs w:val="18"/>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164" w:type="dxa"/>
          </w:tcPr>
          <w:p>
            <w:pPr>
              <w:pStyle w:val="159"/>
              <w:adjustRightInd w:val="0"/>
              <w:snapToGrid w:val="0"/>
              <w:ind w:left="-105" w:leftChars="-50" w:firstLine="0" w:firstLineChars="0"/>
              <w:rPr>
                <w:rFonts w:ascii="Times New Roman"/>
                <w:szCs w:val="18"/>
              </w:rPr>
            </w:pPr>
            <w:r>
              <w:rPr>
                <w:rFonts w:ascii="Times New Roman"/>
                <w:szCs w:val="18"/>
              </w:rPr>
              <w:t>蒸汽的热量，</w:t>
            </w:r>
            <w:r>
              <w:rPr>
                <w:rFonts w:hint="eastAsia" w:ascii="Times New Roman"/>
                <w:szCs w:val="18"/>
              </w:rPr>
              <w:t>以</w:t>
            </w:r>
            <w:r>
              <w:rPr>
                <w:rFonts w:ascii="Times New Roman"/>
                <w:szCs w:val="18"/>
              </w:rPr>
              <w:t>吉焦（GJ）</w:t>
            </w:r>
            <w:r>
              <w:rPr>
                <w:rFonts w:hint="eastAsia" w:ascii="Times New Roman"/>
                <w:szCs w:val="18"/>
              </w:rPr>
              <w:t>计</w:t>
            </w:r>
            <w:r>
              <w:rPr>
                <w:rFonts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24" w:type="dxa"/>
          </w:tcPr>
          <w:p>
            <w:pPr>
              <w:pStyle w:val="159"/>
              <w:adjustRightInd w:val="0"/>
              <w:snapToGrid w:val="0"/>
              <w:ind w:firstLine="0" w:firstLineChars="0"/>
              <w:rPr>
                <w:rFonts w:ascii="Times New Roman"/>
                <w:szCs w:val="18"/>
              </w:rPr>
            </w:pPr>
            <m:oMathPara>
              <m:oMathParaPr>
                <m:jc m:val="left"/>
              </m:oMathParaPr>
              <m:oMath>
                <m:sSub>
                  <m:sSubPr>
                    <m:ctrlPr>
                      <w:rPr>
                        <w:rFonts w:ascii="Cambria Math" w:hAnsi="Cambria Math"/>
                        <w:i/>
                        <w:szCs w:val="18"/>
                      </w:rPr>
                    </m:ctrlPr>
                  </m:sSubPr>
                  <m:e>
                    <m:r>
                      <m:rPr/>
                      <w:rPr>
                        <w:rFonts w:ascii="Cambria Math" w:hAnsi="Cambria Math"/>
                        <w:szCs w:val="18"/>
                      </w:rPr>
                      <m:t>Ma</m:t>
                    </m:r>
                    <m:ctrlPr>
                      <w:rPr>
                        <w:rFonts w:ascii="Cambria Math" w:hAnsi="Cambria Math"/>
                        <w:i/>
                        <w:szCs w:val="18"/>
                      </w:rPr>
                    </m:ctrlPr>
                  </m:e>
                  <m:sub>
                    <m:r>
                      <m:rPr/>
                      <w:rPr>
                        <w:rFonts w:ascii="Cambria Math" w:hAnsi="Cambria Math"/>
                        <w:szCs w:val="18"/>
                      </w:rPr>
                      <m:t>st</m:t>
                    </m:r>
                    <m:ctrlPr>
                      <w:rPr>
                        <w:rFonts w:ascii="Cambria Math" w:hAnsi="Cambria Math"/>
                        <w:i/>
                        <w:szCs w:val="18"/>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164" w:type="dxa"/>
          </w:tcPr>
          <w:p>
            <w:pPr>
              <w:pStyle w:val="159"/>
              <w:adjustRightInd w:val="0"/>
              <w:snapToGrid w:val="0"/>
              <w:ind w:left="-105" w:leftChars="-50" w:firstLine="0" w:firstLineChars="0"/>
              <w:rPr>
                <w:rFonts w:ascii="Times New Roman"/>
                <w:szCs w:val="18"/>
              </w:rPr>
            </w:pPr>
            <w:r>
              <w:rPr>
                <w:rFonts w:ascii="Times New Roman"/>
                <w:szCs w:val="18"/>
              </w:rPr>
              <w:t>蒸汽的质量，</w:t>
            </w:r>
            <w:r>
              <w:rPr>
                <w:rFonts w:hint="eastAsia" w:ascii="Times New Roman"/>
                <w:szCs w:val="18"/>
              </w:rPr>
              <w:t>以</w:t>
            </w:r>
            <w:r>
              <w:rPr>
                <w:rFonts w:ascii="Times New Roman"/>
                <w:szCs w:val="18"/>
              </w:rPr>
              <w:t>吨（t）</w:t>
            </w:r>
            <w:r>
              <w:rPr>
                <w:rFonts w:hint="eastAsia" w:ascii="Times New Roman"/>
                <w:szCs w:val="18"/>
              </w:rPr>
              <w:t>计</w:t>
            </w:r>
            <w:r>
              <w:rPr>
                <w:rFonts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24" w:type="dxa"/>
          </w:tcPr>
          <w:p>
            <w:pPr>
              <w:pStyle w:val="159"/>
              <w:adjustRightInd w:val="0"/>
              <w:snapToGrid w:val="0"/>
              <w:ind w:firstLine="0" w:firstLineChars="0"/>
              <w:rPr>
                <w:rFonts w:ascii="Times New Roman"/>
                <w:szCs w:val="18"/>
              </w:rPr>
            </w:pPr>
            <m:oMathPara>
              <m:oMathParaPr>
                <m:jc m:val="left"/>
              </m:oMathParaPr>
              <m:oMath>
                <m:sSub>
                  <m:sSubPr>
                    <m:ctrlPr>
                      <w:rPr>
                        <w:rFonts w:ascii="Cambria Math" w:hAnsi="Cambria Math"/>
                        <w:i/>
                        <w:szCs w:val="18"/>
                      </w:rPr>
                    </m:ctrlPr>
                  </m:sSubPr>
                  <m:e>
                    <m:r>
                      <m:rPr/>
                      <w:rPr>
                        <w:rFonts w:ascii="Cambria Math" w:hAnsi="Cambria Math"/>
                        <w:szCs w:val="18"/>
                      </w:rPr>
                      <m:t>En</m:t>
                    </m:r>
                    <m:ctrlPr>
                      <w:rPr>
                        <w:rFonts w:ascii="Cambria Math" w:hAnsi="Cambria Math"/>
                        <w:i/>
                        <w:szCs w:val="18"/>
                      </w:rPr>
                    </m:ctrlPr>
                  </m:e>
                  <m:sub>
                    <m:r>
                      <m:rPr/>
                      <w:rPr>
                        <w:rFonts w:ascii="Cambria Math" w:hAnsi="Cambria Math"/>
                        <w:szCs w:val="18"/>
                      </w:rPr>
                      <m:t>st</m:t>
                    </m:r>
                    <m:ctrlPr>
                      <w:rPr>
                        <w:rFonts w:ascii="Cambria Math" w:hAnsi="Cambria Math"/>
                        <w:i/>
                        <w:szCs w:val="18"/>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164" w:type="dxa"/>
          </w:tcPr>
          <w:p>
            <w:pPr>
              <w:pStyle w:val="159"/>
              <w:adjustRightInd w:val="0"/>
              <w:snapToGrid w:val="0"/>
              <w:ind w:left="-105" w:leftChars="-50" w:firstLine="0" w:firstLineChars="0"/>
              <w:rPr>
                <w:rFonts w:ascii="Times New Roman"/>
                <w:szCs w:val="18"/>
              </w:rPr>
            </w:pPr>
            <w:r>
              <w:rPr>
                <w:rFonts w:ascii="Times New Roman"/>
                <w:szCs w:val="18"/>
              </w:rPr>
              <w:t>蒸汽所对应的温度、压力下每千克蒸汽的焓值，取值参考相关行业标准，</w:t>
            </w:r>
            <w:r>
              <w:rPr>
                <w:rFonts w:hint="eastAsia" w:ascii="Times New Roman"/>
                <w:szCs w:val="18"/>
              </w:rPr>
              <w:t>以</w:t>
            </w:r>
            <w:r>
              <w:rPr>
                <w:rFonts w:ascii="Times New Roman"/>
                <w:szCs w:val="18"/>
              </w:rPr>
              <w:t>千焦每千克（kJ/kg）</w:t>
            </w:r>
            <w:r>
              <w:rPr>
                <w:rFonts w:hint="eastAsia" w:ascii="Times New Roman"/>
                <w:szCs w:val="18"/>
              </w:rPr>
              <w:t>计</w:t>
            </w:r>
            <w:r>
              <w:rPr>
                <w:rFonts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24" w:type="dxa"/>
          </w:tcPr>
          <w:p>
            <w:pPr>
              <w:pStyle w:val="159"/>
              <w:adjustRightInd w:val="0"/>
              <w:snapToGrid w:val="0"/>
              <w:ind w:firstLine="0" w:firstLineChars="0"/>
              <w:rPr>
                <w:rFonts w:ascii="Times New Roman"/>
                <w:szCs w:val="18"/>
              </w:rPr>
            </w:pPr>
            <m:oMathPara>
              <m:oMathParaPr>
                <m:jc m:val="left"/>
              </m:oMathParaPr>
              <m:oMath>
                <m:r>
                  <m:rPr/>
                  <w:rPr>
                    <w:rFonts w:ascii="Cambria Math" w:hAnsi="Cambria Math"/>
                    <w:szCs w:val="18"/>
                  </w:rPr>
                  <m:t>83.74</m:t>
                </m:r>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164" w:type="dxa"/>
          </w:tcPr>
          <w:p>
            <w:pPr>
              <w:pStyle w:val="159"/>
              <w:adjustRightInd w:val="0"/>
              <w:snapToGrid w:val="0"/>
              <w:ind w:left="-105" w:leftChars="-50" w:firstLine="0" w:firstLineChars="0"/>
              <w:rPr>
                <w:rFonts w:ascii="Times New Roman"/>
                <w:szCs w:val="18"/>
              </w:rPr>
            </w:pPr>
            <w:r>
              <w:rPr>
                <w:rFonts w:ascii="Times New Roman"/>
                <w:szCs w:val="18"/>
              </w:rPr>
              <w:t>水温为20℃时的焓值，</w:t>
            </w:r>
            <w:r>
              <w:rPr>
                <w:rFonts w:hint="eastAsia" w:ascii="Times New Roman"/>
                <w:szCs w:val="18"/>
              </w:rPr>
              <w:t>以</w:t>
            </w:r>
            <w:r>
              <w:rPr>
                <w:rFonts w:ascii="Times New Roman"/>
                <w:szCs w:val="18"/>
              </w:rPr>
              <w:t>千焦每千克（kJ/kg）</w:t>
            </w:r>
            <w:r>
              <w:rPr>
                <w:rFonts w:hint="eastAsia" w:ascii="Times New Roman"/>
                <w:szCs w:val="18"/>
              </w:rPr>
              <w:t>计</w:t>
            </w:r>
            <w:r>
              <w:rPr>
                <w:rFonts w:ascii="Times New Roman"/>
                <w:szCs w:val="18"/>
              </w:rPr>
              <w:t>。</w:t>
            </w:r>
          </w:p>
        </w:tc>
      </w:tr>
    </w:tbl>
    <w:p>
      <w:pPr>
        <w:pStyle w:val="26"/>
        <w:rPr>
          <w:rFonts w:ascii="Times New Roman"/>
        </w:rPr>
      </w:pPr>
      <w:r>
        <w:rPr>
          <w:rFonts w:ascii="Times New Roman"/>
        </w:rPr>
        <w:t>以质量单位计量的热水可按</w:t>
      </w:r>
      <w:r>
        <w:rPr>
          <w:rFonts w:hint="eastAsia" w:ascii="Times New Roman"/>
          <w:lang w:eastAsia="zh-CN"/>
        </w:rPr>
        <w:t>公式（</w:t>
      </w:r>
      <w:r>
        <w:rPr>
          <w:rFonts w:hint="eastAsia" w:ascii="Times New Roman"/>
          <w:lang w:val="en-US" w:eastAsia="zh-CN"/>
        </w:rPr>
        <w:t>10</w:t>
      </w:r>
      <w:r>
        <w:rPr>
          <w:rFonts w:ascii="Times New Roman"/>
        </w:rPr>
        <w:t>）转换为热量单位。</w:t>
      </w:r>
    </w:p>
    <w:p>
      <w:pPr>
        <w:pStyle w:val="166"/>
        <w:rPr>
          <w:rFonts w:ascii="Times New Roman" w:hAnsi="Times New Roman"/>
        </w:rPr>
      </w:pPr>
      <w:r>
        <w:rPr>
          <w:rFonts w:ascii="Times New Roman" w:hAnsi="Times New Roman"/>
        </w:rPr>
        <w:tab/>
      </w:r>
      <m:oMath>
        <m:sSub>
          <m:sSubPr>
            <m:ctrlPr>
              <w:rPr>
                <w:rFonts w:ascii="Cambria Math" w:hAnsi="Cambria Math"/>
                <w:iCs/>
              </w:rPr>
            </m:ctrlPr>
          </m:sSubPr>
          <m:e>
            <m:r>
              <m:rPr>
                <m:sty m:val="p"/>
              </m:rPr>
              <w:rPr>
                <w:rFonts w:ascii="Cambria Math" w:hAnsi="Cambria Math"/>
              </w:rPr>
              <m:t>AD</m:t>
            </m:r>
            <m:ctrlPr>
              <w:rPr>
                <w:rFonts w:ascii="Cambria Math" w:hAnsi="Cambria Math"/>
                <w:iCs/>
              </w:rPr>
            </m:ctrlPr>
          </m:e>
          <m:sub>
            <m:r>
              <m:rPr>
                <m:sty m:val="p"/>
              </m:rPr>
              <w:rPr>
                <w:rFonts w:ascii="Cambria Math" w:hAnsi="Cambria Math"/>
              </w:rPr>
              <m:t>w</m:t>
            </m:r>
            <m:ctrlPr>
              <w:rPr>
                <w:rFonts w:ascii="Cambria Math" w:hAnsi="Cambria Math"/>
                <w:iCs/>
              </w:rPr>
            </m:ctrlP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Ma</m:t>
            </m:r>
            <m:ctrlPr>
              <w:rPr>
                <w:rFonts w:ascii="Cambria Math" w:hAnsi="Cambria Math"/>
                <w:iCs/>
              </w:rPr>
            </m:ctrlPr>
          </m:e>
          <m:sub>
            <m:r>
              <m:rPr>
                <m:sty m:val="p"/>
              </m:rPr>
              <w:rPr>
                <w:rFonts w:ascii="Cambria Math" w:hAnsi="Cambria Math"/>
              </w:rPr>
              <m:t>w</m:t>
            </m:r>
            <m:ctrlPr>
              <w:rPr>
                <w:rFonts w:ascii="Cambria Math" w:hAnsi="Cambria Math"/>
                <w:iCs/>
              </w:rPr>
            </m:ctrlP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w</m:t>
            </m:r>
            <m:ctrlPr>
              <w:rPr>
                <w:rFonts w:ascii="Cambria Math" w:hAnsi="Cambria Math"/>
                <w:iCs/>
              </w:rPr>
            </m:ctrlPr>
          </m:sub>
        </m:sSub>
        <m:r>
          <m:rPr>
            <m:sty m:val="p"/>
          </m:rPr>
          <w:rPr>
            <w:rFonts w:ascii="Cambria Math" w:hAnsi="Cambria Math"/>
          </w:rPr>
          <m:t>−20)×4.1868×</m:t>
        </m:r>
        <m:sSup>
          <m:sSupPr>
            <m:ctrlPr>
              <w:rPr>
                <w:rFonts w:ascii="Cambria Math" w:hAnsi="Cambria Math"/>
                <w:iCs/>
              </w:rPr>
            </m:ctrlPr>
          </m:sSupPr>
          <m:e>
            <m:r>
              <m:rPr>
                <m:sty m:val="p"/>
              </m:rPr>
              <w:rPr>
                <w:rFonts w:ascii="Cambria Math" w:hAnsi="Cambria Math"/>
              </w:rPr>
              <m:t>10</m:t>
            </m:r>
            <m:ctrlPr>
              <w:rPr>
                <w:rFonts w:ascii="Cambria Math" w:hAnsi="Cambria Math"/>
                <w:iCs/>
              </w:rPr>
            </m:ctrlPr>
          </m:e>
          <m:sup>
            <m:r>
              <m:rPr>
                <m:sty m:val="p"/>
              </m:rPr>
              <w:rPr>
                <w:rFonts w:ascii="Cambria Math" w:hAnsi="Cambria Math"/>
              </w:rPr>
              <m:t>−3</m:t>
            </m:r>
            <m:ctrlPr>
              <w:rPr>
                <w:rFonts w:ascii="Cambria Math" w:hAnsi="Cambria Math"/>
                <w:iCs/>
              </w:rPr>
            </m:ctrlPr>
          </m:sup>
        </m:sSup>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10</w:t>
      </w:r>
      <w:r>
        <w:rPr>
          <w:rFonts w:hint="eastAsia" w:ascii="Times New Roman" w:hAnsi="Times New Roman"/>
        </w:rPr>
        <w:t>）</w:t>
      </w:r>
    </w:p>
    <w:p>
      <w:pPr>
        <w:pStyle w:val="26"/>
        <w:rPr>
          <w:rFonts w:ascii="Times New Roman"/>
        </w:rPr>
      </w:pPr>
      <w:r>
        <w:rPr>
          <w:rFonts w:ascii="Times New Roman"/>
        </w:rPr>
        <w:t>式中：</w:t>
      </w:r>
    </w:p>
    <w:tbl>
      <w:tblPr>
        <w:tblStyle w:val="39"/>
        <w:tblW w:w="9071"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7"/>
        <w:gridCol w:w="340"/>
        <w:gridCol w:w="79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737" w:type="dxa"/>
          </w:tcPr>
          <w:p>
            <w:pPr>
              <w:pStyle w:val="159"/>
              <w:adjustRightInd w:val="0"/>
              <w:snapToGrid w:val="0"/>
              <w:ind w:firstLine="0" w:firstLineChars="0"/>
              <w:rPr>
                <w:rFonts w:ascii="Times New Roman"/>
                <w:iCs/>
                <w:szCs w:val="18"/>
              </w:rPr>
            </w:pPr>
            <m:oMathPara>
              <m:oMathParaPr>
                <m:jc m:val="left"/>
              </m:oMathParaPr>
              <m:oMath>
                <m:sSub>
                  <m:sSubPr>
                    <m:ctrlPr>
                      <w:rPr>
                        <w:rFonts w:ascii="Cambria Math" w:hAnsi="Cambria Math"/>
                        <w:i/>
                        <w:szCs w:val="18"/>
                      </w:rPr>
                    </m:ctrlPr>
                  </m:sSubPr>
                  <m:e>
                    <m:r>
                      <m:rPr/>
                      <w:rPr>
                        <w:rFonts w:ascii="Cambria Math" w:hAnsi="Cambria Math"/>
                        <w:szCs w:val="18"/>
                      </w:rPr>
                      <m:t>AD</m:t>
                    </m:r>
                    <m:ctrlPr>
                      <w:rPr>
                        <w:rFonts w:ascii="Cambria Math" w:hAnsi="Cambria Math"/>
                        <w:i/>
                        <w:szCs w:val="18"/>
                      </w:rPr>
                    </m:ctrlPr>
                  </m:e>
                  <m:sub>
                    <m:r>
                      <m:rPr/>
                      <w:rPr>
                        <w:rFonts w:ascii="Cambria Math" w:hAnsi="Cambria Math"/>
                        <w:szCs w:val="18"/>
                      </w:rPr>
                      <m:t>w</m:t>
                    </m:r>
                    <m:ctrlPr>
                      <w:rPr>
                        <w:rFonts w:ascii="Cambria Math" w:hAnsi="Cambria Math"/>
                        <w:i/>
                        <w:szCs w:val="18"/>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994" w:type="dxa"/>
          </w:tcPr>
          <w:p>
            <w:pPr>
              <w:pStyle w:val="159"/>
              <w:adjustRightInd w:val="0"/>
              <w:snapToGrid w:val="0"/>
              <w:ind w:left="-105" w:leftChars="-50" w:firstLine="0" w:firstLineChars="0"/>
              <w:rPr>
                <w:rFonts w:ascii="Times New Roman"/>
                <w:szCs w:val="18"/>
              </w:rPr>
            </w:pPr>
            <w:r>
              <w:rPr>
                <w:rFonts w:ascii="Times New Roman"/>
                <w:szCs w:val="18"/>
              </w:rPr>
              <w:t>热水的热量，</w:t>
            </w:r>
            <w:r>
              <w:rPr>
                <w:rFonts w:hint="eastAsia" w:ascii="Times New Roman"/>
                <w:szCs w:val="18"/>
              </w:rPr>
              <w:t>以</w:t>
            </w:r>
            <w:r>
              <w:rPr>
                <w:rFonts w:ascii="Times New Roman"/>
                <w:szCs w:val="18"/>
              </w:rPr>
              <w:t>吉焦（GJ）</w:t>
            </w:r>
            <w:r>
              <w:rPr>
                <w:rFonts w:hint="eastAsia" w:ascii="Times New Roman"/>
                <w:szCs w:val="18"/>
              </w:rPr>
              <w:t>计</w:t>
            </w:r>
            <w:r>
              <w:rPr>
                <w:rFonts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737" w:type="dxa"/>
          </w:tcPr>
          <w:p>
            <w:pPr>
              <w:pStyle w:val="159"/>
              <w:adjustRightInd w:val="0"/>
              <w:snapToGrid w:val="0"/>
              <w:ind w:firstLine="0" w:firstLineChars="0"/>
              <w:rPr>
                <w:rFonts w:ascii="Times New Roman"/>
                <w:szCs w:val="18"/>
              </w:rPr>
            </w:pPr>
            <m:oMathPara>
              <m:oMathParaPr>
                <m:jc m:val="left"/>
              </m:oMathParaPr>
              <m:oMath>
                <m:sSub>
                  <m:sSubPr>
                    <m:ctrlPr>
                      <w:rPr>
                        <w:rFonts w:ascii="Cambria Math" w:hAnsi="Cambria Math"/>
                        <w:i/>
                        <w:szCs w:val="18"/>
                      </w:rPr>
                    </m:ctrlPr>
                  </m:sSubPr>
                  <m:e>
                    <m:r>
                      <m:rPr/>
                      <w:rPr>
                        <w:rFonts w:ascii="Cambria Math" w:hAnsi="Cambria Math"/>
                        <w:szCs w:val="18"/>
                      </w:rPr>
                      <m:t>Ma</m:t>
                    </m:r>
                    <m:ctrlPr>
                      <w:rPr>
                        <w:rFonts w:ascii="Cambria Math" w:hAnsi="Cambria Math"/>
                        <w:i/>
                        <w:szCs w:val="18"/>
                      </w:rPr>
                    </m:ctrlPr>
                  </m:e>
                  <m:sub>
                    <m:r>
                      <m:rPr/>
                      <w:rPr>
                        <w:rFonts w:ascii="Cambria Math" w:hAnsi="Cambria Math"/>
                        <w:szCs w:val="18"/>
                      </w:rPr>
                      <m:t>w</m:t>
                    </m:r>
                    <m:ctrlPr>
                      <w:rPr>
                        <w:rFonts w:ascii="Cambria Math" w:hAnsi="Cambria Math"/>
                        <w:i/>
                        <w:szCs w:val="18"/>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994" w:type="dxa"/>
          </w:tcPr>
          <w:p>
            <w:pPr>
              <w:pStyle w:val="159"/>
              <w:adjustRightInd w:val="0"/>
              <w:snapToGrid w:val="0"/>
              <w:ind w:left="-105" w:leftChars="-50" w:firstLine="0" w:firstLineChars="0"/>
              <w:rPr>
                <w:rFonts w:ascii="Times New Roman"/>
                <w:szCs w:val="18"/>
              </w:rPr>
            </w:pPr>
            <w:r>
              <w:rPr>
                <w:rFonts w:ascii="Times New Roman"/>
                <w:szCs w:val="18"/>
              </w:rPr>
              <w:t>热水的质量，</w:t>
            </w:r>
            <w:r>
              <w:rPr>
                <w:rFonts w:hint="eastAsia" w:ascii="Times New Roman"/>
                <w:szCs w:val="18"/>
              </w:rPr>
              <w:t>以</w:t>
            </w:r>
            <w:r>
              <w:rPr>
                <w:rFonts w:ascii="Times New Roman"/>
                <w:szCs w:val="18"/>
              </w:rPr>
              <w:t>吨（t）</w:t>
            </w:r>
            <w:r>
              <w:rPr>
                <w:rFonts w:hint="eastAsia" w:ascii="Times New Roman"/>
                <w:szCs w:val="18"/>
              </w:rPr>
              <w:t>计</w:t>
            </w:r>
            <w:r>
              <w:rPr>
                <w:rFonts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737" w:type="dxa"/>
          </w:tcPr>
          <w:p>
            <w:pPr>
              <w:pStyle w:val="159"/>
              <w:adjustRightInd w:val="0"/>
              <w:snapToGrid w:val="0"/>
              <w:ind w:firstLine="0" w:firstLineChars="0"/>
              <w:rPr>
                <w:rFonts w:ascii="Times New Roman"/>
                <w:szCs w:val="18"/>
              </w:rPr>
            </w:pPr>
            <m:oMathPara>
              <m:oMathParaPr>
                <m:jc m:val="left"/>
              </m:oMathParaPr>
              <m:oMath>
                <m:sSub>
                  <m:sSubPr>
                    <m:ctrlPr>
                      <w:rPr>
                        <w:rFonts w:ascii="Cambria Math" w:hAnsi="Cambria Math"/>
                        <w:i/>
                        <w:szCs w:val="18"/>
                      </w:rPr>
                    </m:ctrlPr>
                  </m:sSubPr>
                  <m:e>
                    <m:r>
                      <m:rPr/>
                      <w:rPr>
                        <w:rFonts w:ascii="Cambria Math" w:hAnsi="Cambria Math"/>
                        <w:szCs w:val="18"/>
                      </w:rPr>
                      <m:t>T</m:t>
                    </m:r>
                    <m:ctrlPr>
                      <w:rPr>
                        <w:rFonts w:ascii="Cambria Math" w:hAnsi="Cambria Math"/>
                        <w:i/>
                        <w:szCs w:val="18"/>
                      </w:rPr>
                    </m:ctrlPr>
                  </m:e>
                  <m:sub>
                    <m:r>
                      <m:rPr/>
                      <w:rPr>
                        <w:rFonts w:ascii="Cambria Math" w:hAnsi="Cambria Math"/>
                        <w:szCs w:val="18"/>
                      </w:rPr>
                      <m:t>w</m:t>
                    </m:r>
                    <m:ctrlPr>
                      <w:rPr>
                        <w:rFonts w:ascii="Cambria Math" w:hAnsi="Cambria Math"/>
                        <w:i/>
                        <w:szCs w:val="18"/>
                      </w:rPr>
                    </m:ctrlPr>
                  </m:sub>
                </m:sSub>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994" w:type="dxa"/>
          </w:tcPr>
          <w:p>
            <w:pPr>
              <w:pStyle w:val="159"/>
              <w:adjustRightInd w:val="0"/>
              <w:snapToGrid w:val="0"/>
              <w:ind w:left="-105" w:leftChars="-50" w:firstLine="0" w:firstLineChars="0"/>
              <w:rPr>
                <w:rFonts w:ascii="Times New Roman"/>
                <w:szCs w:val="18"/>
              </w:rPr>
            </w:pPr>
            <w:r>
              <w:rPr>
                <w:rFonts w:ascii="Times New Roman"/>
                <w:szCs w:val="18"/>
              </w:rPr>
              <w:t>热水的温度，</w:t>
            </w:r>
            <w:r>
              <w:rPr>
                <w:rFonts w:hint="eastAsia" w:ascii="Times New Roman"/>
                <w:szCs w:val="18"/>
              </w:rPr>
              <w:t>以</w:t>
            </w:r>
            <w:r>
              <w:rPr>
                <w:rFonts w:ascii="Times New Roman"/>
                <w:szCs w:val="18"/>
              </w:rPr>
              <w:t>摄氏度（℃）</w:t>
            </w:r>
            <w:r>
              <w:rPr>
                <w:rFonts w:hint="eastAsia" w:ascii="Times New Roman"/>
                <w:szCs w:val="18"/>
              </w:rPr>
              <w:t>计</w:t>
            </w:r>
            <w:r>
              <w:rPr>
                <w:rFonts w:ascii="Times New Roman"/>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737" w:type="dxa"/>
          </w:tcPr>
          <w:p>
            <w:pPr>
              <w:pStyle w:val="159"/>
              <w:adjustRightInd w:val="0"/>
              <w:snapToGrid w:val="0"/>
              <w:ind w:firstLine="0" w:firstLineChars="0"/>
              <w:rPr>
                <w:rFonts w:ascii="Times New Roman"/>
                <w:szCs w:val="18"/>
              </w:rPr>
            </w:pPr>
            <m:oMathPara>
              <m:oMathParaPr>
                <m:jc m:val="left"/>
              </m:oMathParaPr>
              <m:oMath>
                <m:r>
                  <m:rPr/>
                  <w:rPr>
                    <w:rFonts w:ascii="Cambria Math" w:hAnsi="Cambria Math"/>
                    <w:szCs w:val="18"/>
                  </w:rPr>
                  <m:t>20</m:t>
                </m:r>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994" w:type="dxa"/>
          </w:tcPr>
          <w:p>
            <w:pPr>
              <w:pStyle w:val="159"/>
              <w:adjustRightInd w:val="0"/>
              <w:snapToGrid w:val="0"/>
              <w:ind w:left="-105" w:leftChars="-50" w:firstLine="0" w:firstLineChars="0"/>
              <w:rPr>
                <w:rFonts w:ascii="Times New Roman"/>
                <w:szCs w:val="18"/>
              </w:rPr>
            </w:pPr>
            <w:r>
              <w:rPr>
                <w:rFonts w:ascii="Times New Roman"/>
                <w:szCs w:val="18"/>
              </w:rPr>
              <w:t>常温下水的温度，</w:t>
            </w:r>
            <w:r>
              <w:rPr>
                <w:rFonts w:hint="eastAsia" w:ascii="Times New Roman"/>
                <w:szCs w:val="18"/>
              </w:rPr>
              <w:t>以</w:t>
            </w:r>
            <w:r>
              <w:rPr>
                <w:rFonts w:ascii="Times New Roman"/>
                <w:szCs w:val="18"/>
              </w:rPr>
              <w:t>摄氏度（℃）</w:t>
            </w:r>
            <w:r>
              <w:rPr>
                <w:rFonts w:hint="eastAsia" w:ascii="Times New Roman"/>
                <w:szCs w:val="18"/>
              </w:rPr>
              <w:t>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737" w:type="dxa"/>
          </w:tcPr>
          <w:p>
            <w:pPr>
              <w:pStyle w:val="159"/>
              <w:adjustRightInd w:val="0"/>
              <w:snapToGrid w:val="0"/>
              <w:ind w:firstLine="0" w:firstLineChars="0"/>
              <w:rPr>
                <w:rFonts w:ascii="Calibri" w:hAnsi="Calibri"/>
                <w:szCs w:val="18"/>
              </w:rPr>
            </w:pPr>
            <m:oMathPara>
              <m:oMathParaPr>
                <m:jc m:val="left"/>
              </m:oMathParaPr>
              <m:oMath>
                <m:r>
                  <m:rPr/>
                  <w:rPr>
                    <w:rFonts w:ascii="Cambria Math" w:hAnsi="Cambria Math"/>
                    <w:szCs w:val="18"/>
                  </w:rPr>
                  <m:t>4.1868</m:t>
                </m:r>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7994" w:type="dxa"/>
          </w:tcPr>
          <w:p>
            <w:pPr>
              <w:pStyle w:val="159"/>
              <w:adjustRightInd w:val="0"/>
              <w:snapToGrid w:val="0"/>
              <w:ind w:left="-105" w:leftChars="-50" w:firstLine="0" w:firstLineChars="0"/>
              <w:rPr>
                <w:rFonts w:ascii="Times New Roman"/>
                <w:szCs w:val="18"/>
              </w:rPr>
            </w:pPr>
            <w:r>
              <w:rPr>
                <w:rFonts w:ascii="Times New Roman"/>
                <w:szCs w:val="18"/>
              </w:rPr>
              <w:t>水在常温常压下的比热，</w:t>
            </w:r>
            <w:r>
              <w:rPr>
                <w:rFonts w:hint="eastAsia" w:ascii="Times New Roman"/>
                <w:szCs w:val="18"/>
              </w:rPr>
              <w:t>以</w:t>
            </w:r>
            <w:r>
              <w:rPr>
                <w:rFonts w:ascii="Times New Roman"/>
                <w:szCs w:val="18"/>
              </w:rPr>
              <w:t>千焦每千克每摄氏度[kJ/(kg∙℃)]</w:t>
            </w:r>
            <w:r>
              <w:rPr>
                <w:rFonts w:hint="eastAsia" w:ascii="Times New Roman"/>
                <w:szCs w:val="18"/>
              </w:rPr>
              <w:t>计</w:t>
            </w:r>
            <w:r>
              <w:rPr>
                <w:rFonts w:ascii="Times New Roman"/>
                <w:szCs w:val="18"/>
              </w:rPr>
              <w:t>。</w:t>
            </w:r>
          </w:p>
        </w:tc>
      </w:tr>
    </w:tbl>
    <w:p>
      <w:pPr>
        <w:pStyle w:val="60"/>
        <w:bidi w:val="0"/>
        <w:ind w:left="0" w:leftChars="0" w:firstLine="0" w:firstLineChars="0"/>
        <w:rPr>
          <w:rFonts w:hint="eastAsia" w:ascii="Times New Roman"/>
        </w:rPr>
      </w:pPr>
      <w:r>
        <w:rPr>
          <w:rFonts w:hint="eastAsia" w:ascii="Times New Roman"/>
        </w:rPr>
        <w:t>数据</w:t>
      </w:r>
      <w:r>
        <w:rPr>
          <w:rFonts w:hint="eastAsia" w:ascii="Times New Roman"/>
          <w:lang w:val="en-US" w:eastAsia="zh-CN"/>
        </w:rPr>
        <w:t>的监测与获取</w:t>
      </w:r>
    </w:p>
    <w:p>
      <w:pPr>
        <w:pStyle w:val="65"/>
        <w:bidi w:val="0"/>
        <w:ind w:left="0" w:leftChars="0" w:firstLine="0" w:firstLineChars="0"/>
        <w:rPr>
          <w:rFonts w:hint="eastAsia" w:ascii="Times New Roman"/>
          <w:lang w:val="en-US" w:eastAsia="zh-CN"/>
        </w:rPr>
      </w:pPr>
      <w:r>
        <w:rPr>
          <w:rFonts w:hint="eastAsia" w:ascii="Times New Roman"/>
          <w:lang w:val="en-US" w:eastAsia="zh-CN"/>
        </w:rPr>
        <w:t>购入和输出热力量</w:t>
      </w:r>
    </w:p>
    <w:p>
      <w:pPr>
        <w:pStyle w:val="159"/>
        <w:ind w:firstLine="420"/>
        <w:rPr>
          <w:rFonts w:ascii="Times New Roman"/>
        </w:rPr>
      </w:pPr>
      <w:r>
        <w:rPr>
          <w:rFonts w:ascii="Times New Roman"/>
        </w:rPr>
        <w:t>企业应按GB 17167</w:t>
      </w:r>
      <w:r>
        <w:rPr>
          <w:rFonts w:hint="eastAsia" w:ascii="Times New Roman"/>
        </w:rPr>
        <w:t>和</w:t>
      </w:r>
      <w:r>
        <w:rPr>
          <w:rFonts w:ascii="Times New Roman"/>
        </w:rPr>
        <w:t>GB/T 24851的要求配备热力计量器具，热力的计量要求见表4。</w:t>
      </w:r>
    </w:p>
    <w:p>
      <w:pPr>
        <w:pStyle w:val="168"/>
        <w:spacing w:before="156" w:after="156"/>
        <w:rPr>
          <w:rFonts w:ascii="Times New Roman"/>
        </w:rPr>
      </w:pPr>
      <w:r>
        <w:rPr>
          <w:rFonts w:ascii="Times New Roman"/>
        </w:rPr>
        <w:t>热力计量要求</w:t>
      </w:r>
    </w:p>
    <w:tbl>
      <w:tblPr>
        <w:tblStyle w:val="38"/>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3198"/>
        <w:gridCol w:w="1177"/>
        <w:gridCol w:w="1515"/>
        <w:gridCol w:w="1177"/>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172" w:type="dxa"/>
            <w:vAlign w:val="center"/>
          </w:tcPr>
          <w:p>
            <w:pPr>
              <w:pStyle w:val="26"/>
              <w:ind w:firstLine="0" w:firstLineChars="0"/>
              <w:jc w:val="center"/>
              <w:rPr>
                <w:rFonts w:ascii="Times New Roman"/>
                <w:b/>
                <w:bCs/>
                <w:sz w:val="18"/>
                <w:szCs w:val="18"/>
              </w:rPr>
            </w:pPr>
            <w:r>
              <w:rPr>
                <w:rFonts w:hint="eastAsia" w:ascii="Times New Roman"/>
                <w:b/>
                <w:bCs/>
                <w:sz w:val="18"/>
                <w:szCs w:val="18"/>
              </w:rPr>
              <w:t>热力类型</w:t>
            </w:r>
          </w:p>
        </w:tc>
        <w:tc>
          <w:tcPr>
            <w:tcW w:w="3198"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准确度等级</w:t>
            </w:r>
          </w:p>
        </w:tc>
        <w:tc>
          <w:tcPr>
            <w:tcW w:w="1177"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计量设备溯源方式</w:t>
            </w:r>
          </w:p>
        </w:tc>
        <w:tc>
          <w:tcPr>
            <w:tcW w:w="1515"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溯源频次</w:t>
            </w:r>
          </w:p>
        </w:tc>
        <w:tc>
          <w:tcPr>
            <w:tcW w:w="1177"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计量频次</w:t>
            </w:r>
          </w:p>
        </w:tc>
        <w:tc>
          <w:tcPr>
            <w:tcW w:w="1177"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记录频次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172" w:type="dxa"/>
            <w:vAlign w:val="center"/>
          </w:tcPr>
          <w:p>
            <w:pPr>
              <w:pStyle w:val="26"/>
              <w:ind w:firstLine="0" w:firstLineChars="0"/>
              <w:jc w:val="center"/>
              <w:rPr>
                <w:rFonts w:ascii="Times New Roman"/>
                <w:sz w:val="18"/>
                <w:szCs w:val="18"/>
              </w:rPr>
            </w:pPr>
            <w:r>
              <w:rPr>
                <w:rFonts w:ascii="Times New Roman"/>
                <w:sz w:val="18"/>
                <w:szCs w:val="18"/>
              </w:rPr>
              <w:t>蒸汽</w:t>
            </w:r>
          </w:p>
        </w:tc>
        <w:tc>
          <w:tcPr>
            <w:tcW w:w="3198"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蒸汽流量表：2.0</w:t>
            </w:r>
          </w:p>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温度表：0.5</w:t>
            </w:r>
          </w:p>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压力表：0.5</w:t>
            </w:r>
          </w:p>
        </w:tc>
        <w:tc>
          <w:tcPr>
            <w:tcW w:w="1177"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检定/校准</w:t>
            </w:r>
          </w:p>
        </w:tc>
        <w:tc>
          <w:tcPr>
            <w:tcW w:w="1515"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1次/12个月</w:t>
            </w:r>
          </w:p>
        </w:tc>
        <w:tc>
          <w:tcPr>
            <w:tcW w:w="1177"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连续</w:t>
            </w:r>
          </w:p>
        </w:tc>
        <w:tc>
          <w:tcPr>
            <w:tcW w:w="1177"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172" w:type="dxa"/>
            <w:vAlign w:val="center"/>
          </w:tcPr>
          <w:p>
            <w:pPr>
              <w:pStyle w:val="26"/>
              <w:ind w:firstLine="0" w:firstLineChars="0"/>
              <w:jc w:val="center"/>
              <w:rPr>
                <w:rFonts w:ascii="Times New Roman"/>
                <w:sz w:val="18"/>
                <w:szCs w:val="18"/>
              </w:rPr>
            </w:pPr>
            <w:r>
              <w:rPr>
                <w:rFonts w:ascii="Times New Roman"/>
                <w:sz w:val="18"/>
                <w:szCs w:val="18"/>
              </w:rPr>
              <w:t>热水</w:t>
            </w:r>
          </w:p>
        </w:tc>
        <w:tc>
          <w:tcPr>
            <w:tcW w:w="3198" w:type="dxa"/>
            <w:vAlign w:val="center"/>
          </w:tcPr>
          <w:p>
            <w:pPr>
              <w:pStyle w:val="60"/>
              <w:numPr>
                <w:ilvl w:val="0"/>
                <w:numId w:val="0"/>
              </w:numPr>
              <w:spacing w:before="0" w:beforeLines="0" w:after="0" w:afterLines="0"/>
              <w:ind w:left="-105" w:leftChars="-50" w:right="-105" w:rightChars="-50"/>
              <w:jc w:val="center"/>
              <w:outlineLvl w:val="9"/>
              <w:rPr>
                <w:rFonts w:ascii="Times New Roman" w:eastAsia="宋体"/>
                <w:sz w:val="18"/>
                <w:szCs w:val="18"/>
              </w:rPr>
            </w:pPr>
            <w:r>
              <w:rPr>
                <w:rFonts w:ascii="Times New Roman" w:eastAsia="宋体"/>
                <w:sz w:val="18"/>
                <w:szCs w:val="18"/>
              </w:rPr>
              <w:t>水流量表（管径≤200mm）：2.0</w:t>
            </w:r>
          </w:p>
          <w:p>
            <w:pPr>
              <w:pStyle w:val="26"/>
              <w:ind w:left="-105" w:leftChars="-50" w:right="-105" w:rightChars="-50" w:firstLine="0" w:firstLineChars="0"/>
              <w:jc w:val="center"/>
              <w:rPr>
                <w:rFonts w:ascii="Times New Roman"/>
                <w:sz w:val="18"/>
                <w:szCs w:val="18"/>
              </w:rPr>
            </w:pPr>
            <w:r>
              <w:rPr>
                <w:rFonts w:ascii="Times New Roman"/>
                <w:sz w:val="18"/>
                <w:szCs w:val="18"/>
              </w:rPr>
              <w:t>水流量表（管径&gt;200mm）：1.5</w:t>
            </w:r>
          </w:p>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温度表：0.5</w:t>
            </w:r>
          </w:p>
        </w:tc>
        <w:tc>
          <w:tcPr>
            <w:tcW w:w="1177"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检定/校准</w:t>
            </w:r>
          </w:p>
        </w:tc>
        <w:tc>
          <w:tcPr>
            <w:tcW w:w="1515"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1次/12个月</w:t>
            </w:r>
          </w:p>
        </w:tc>
        <w:tc>
          <w:tcPr>
            <w:tcW w:w="1177"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连续</w:t>
            </w:r>
          </w:p>
        </w:tc>
        <w:tc>
          <w:tcPr>
            <w:tcW w:w="1177"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172" w:type="dxa"/>
            <w:vAlign w:val="center"/>
          </w:tcPr>
          <w:p>
            <w:pPr>
              <w:pStyle w:val="26"/>
              <w:ind w:firstLine="0" w:firstLineChars="0"/>
              <w:jc w:val="center"/>
              <w:rPr>
                <w:rFonts w:ascii="Times New Roman"/>
                <w:sz w:val="18"/>
                <w:szCs w:val="18"/>
              </w:rPr>
            </w:pPr>
            <w:r>
              <w:rPr>
                <w:rFonts w:ascii="Times New Roman"/>
                <w:sz w:val="18"/>
                <w:szCs w:val="18"/>
              </w:rPr>
              <w:t>导热油</w:t>
            </w:r>
          </w:p>
        </w:tc>
        <w:tc>
          <w:tcPr>
            <w:tcW w:w="3198"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成品油流量表： 0.3</w:t>
            </w:r>
          </w:p>
          <w:p>
            <w:pPr>
              <w:pStyle w:val="60"/>
              <w:numPr>
                <w:ilvl w:val="0"/>
                <w:numId w:val="0"/>
              </w:numPr>
              <w:spacing w:before="0" w:beforeLines="0" w:after="0" w:afterLines="0"/>
              <w:jc w:val="center"/>
              <w:outlineLvl w:val="9"/>
              <w:rPr>
                <w:rFonts w:ascii="Times New Roman" w:eastAsia="宋体"/>
              </w:rPr>
            </w:pPr>
            <w:r>
              <w:rPr>
                <w:rFonts w:ascii="Times New Roman" w:eastAsia="宋体"/>
                <w:sz w:val="18"/>
                <w:szCs w:val="18"/>
              </w:rPr>
              <w:t>重油、渣油流量表：0.5</w:t>
            </w:r>
          </w:p>
          <w:p>
            <w:pPr>
              <w:pStyle w:val="60"/>
              <w:numPr>
                <w:ilvl w:val="0"/>
                <w:numId w:val="0"/>
              </w:numPr>
              <w:spacing w:before="0" w:beforeLines="0" w:after="0" w:afterLines="0"/>
              <w:jc w:val="center"/>
              <w:outlineLvl w:val="9"/>
              <w:rPr>
                <w:rFonts w:ascii="Times New Roman" w:eastAsia="宋体"/>
              </w:rPr>
            </w:pPr>
            <w:r>
              <w:rPr>
                <w:rFonts w:ascii="Times New Roman" w:eastAsia="宋体"/>
                <w:sz w:val="18"/>
                <w:szCs w:val="18"/>
              </w:rPr>
              <w:t>温度表：0.5</w:t>
            </w:r>
          </w:p>
        </w:tc>
        <w:tc>
          <w:tcPr>
            <w:tcW w:w="1177"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检定/校准</w:t>
            </w:r>
          </w:p>
        </w:tc>
        <w:tc>
          <w:tcPr>
            <w:tcW w:w="1515"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1次/12个月</w:t>
            </w:r>
          </w:p>
        </w:tc>
        <w:tc>
          <w:tcPr>
            <w:tcW w:w="1177"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连续</w:t>
            </w:r>
          </w:p>
        </w:tc>
        <w:tc>
          <w:tcPr>
            <w:tcW w:w="1177" w:type="dxa"/>
            <w:vAlign w:val="center"/>
          </w:tcPr>
          <w:p>
            <w:pPr>
              <w:pStyle w:val="60"/>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每月</w:t>
            </w:r>
          </w:p>
        </w:tc>
      </w:tr>
    </w:tbl>
    <w:p>
      <w:pPr>
        <w:pStyle w:val="159"/>
        <w:ind w:firstLine="420"/>
        <w:rPr>
          <w:rFonts w:ascii="Times New Roman"/>
        </w:rPr>
      </w:pPr>
      <w:r>
        <w:rPr>
          <w:rFonts w:hint="eastAsia" w:ascii="Times New Roman"/>
        </w:rPr>
        <w:t>购入热量和</w:t>
      </w:r>
      <w:r>
        <w:rPr>
          <w:rFonts w:hint="eastAsia" w:ascii="Times New Roman"/>
          <w:lang w:val="en-US" w:eastAsia="zh-CN"/>
        </w:rPr>
        <w:t>输出</w:t>
      </w:r>
      <w:r>
        <w:rPr>
          <w:rFonts w:hint="eastAsia" w:ascii="Times New Roman"/>
        </w:rPr>
        <w:t>热量应采用流量表、热量表记录的计量数据，或供应商提供的热力结算凭证上的数据。</w:t>
      </w:r>
    </w:p>
    <w:p>
      <w:pPr>
        <w:pStyle w:val="159"/>
        <w:ind w:firstLine="420"/>
        <w:rPr>
          <w:rFonts w:ascii="Times New Roman"/>
        </w:rPr>
      </w:pPr>
      <w:r>
        <w:rPr>
          <w:rFonts w:hint="eastAsia" w:ascii="Times New Roman"/>
        </w:rPr>
        <w:t>蒸汽及热水温度、压力数据采用计量或控制系统的监测数据的月度算术平均值，数据不可得时也可采用运行参数范围内的经验值。</w:t>
      </w:r>
    </w:p>
    <w:p>
      <w:pPr>
        <w:pStyle w:val="65"/>
        <w:bidi w:val="0"/>
        <w:ind w:left="0" w:leftChars="0" w:firstLine="0" w:firstLineChars="0"/>
        <w:rPr>
          <w:rFonts w:hint="eastAsia" w:ascii="Times New Roman"/>
          <w:lang w:val="en-US" w:eastAsia="zh-CN"/>
        </w:rPr>
      </w:pPr>
      <w:r>
        <w:rPr>
          <w:rFonts w:hint="eastAsia" w:ascii="Times New Roman"/>
          <w:lang w:val="en-US" w:eastAsia="zh-CN"/>
        </w:rPr>
        <w:t>热力排放因子</w:t>
      </w:r>
    </w:p>
    <w:p>
      <w:pPr>
        <w:pStyle w:val="159"/>
        <w:ind w:firstLine="420"/>
        <w:rPr>
          <w:rFonts w:ascii="Times New Roman"/>
        </w:rPr>
      </w:pPr>
      <w:r>
        <w:rPr>
          <w:rFonts w:ascii="Times New Roman"/>
        </w:rPr>
        <w:t>热力</w:t>
      </w:r>
      <w:r>
        <w:rPr>
          <w:rFonts w:hint="eastAsia" w:ascii="Times New Roman"/>
        </w:rPr>
        <w:t>的二氧化碳</w:t>
      </w:r>
      <w:r>
        <w:rPr>
          <w:rFonts w:ascii="Times New Roman"/>
        </w:rPr>
        <w:t>排放因子优先采用供热单位的实测值</w:t>
      </w:r>
      <w:r>
        <w:rPr>
          <w:rFonts w:hint="eastAsia" w:ascii="Times New Roman"/>
        </w:rPr>
        <w:t>；</w:t>
      </w:r>
      <w:r>
        <w:rPr>
          <w:rFonts w:hint="eastAsia"/>
          <w:szCs w:val="21"/>
        </w:rPr>
        <w:t>若无实测值</w:t>
      </w:r>
      <w:r>
        <w:rPr>
          <w:rFonts w:hint="eastAsia" w:ascii="Times New Roman"/>
        </w:rPr>
        <w:t>，可采用</w:t>
      </w:r>
      <w:r>
        <w:rPr>
          <w:rFonts w:ascii="Times New Roman"/>
        </w:rPr>
        <w:t>0.11 tCO</w:t>
      </w:r>
      <w:r>
        <w:rPr>
          <w:rFonts w:ascii="Times New Roman"/>
          <w:vertAlign w:val="subscript"/>
        </w:rPr>
        <w:t>2</w:t>
      </w:r>
      <w:r>
        <w:rPr>
          <w:rFonts w:ascii="Times New Roman"/>
        </w:rPr>
        <w:t>/GJ</w:t>
      </w:r>
      <w:r>
        <w:rPr>
          <w:rFonts w:hint="eastAsia" w:ascii="Times New Roman"/>
        </w:rPr>
        <w:t>。</w:t>
      </w:r>
    </w:p>
    <w:bookmarkEnd w:id="93"/>
    <w:p>
      <w:pPr>
        <w:pStyle w:val="56"/>
        <w:bidi w:val="0"/>
        <w:ind w:left="0" w:leftChars="0" w:firstLine="0" w:firstLineChars="0"/>
        <w:rPr>
          <w:rFonts w:ascii="黑体" w:eastAsia="黑体"/>
          <w:color w:val="auto"/>
          <w:kern w:val="0"/>
          <w:szCs w:val="21"/>
        </w:rPr>
      </w:pPr>
      <w:bookmarkStart w:id="97" w:name="_Toc17595"/>
      <w:r>
        <w:rPr>
          <w:rFonts w:hint="eastAsia"/>
          <w:color w:val="auto"/>
          <w:kern w:val="0"/>
          <w:szCs w:val="21"/>
          <w:lang w:val="en-US" w:eastAsia="zh-CN"/>
        </w:rPr>
        <w:t>温室气体排放总量</w:t>
      </w:r>
      <w:bookmarkEnd w:id="97"/>
    </w:p>
    <w:p>
      <w:pPr>
        <w:pStyle w:val="159"/>
        <w:ind w:firstLine="420"/>
        <w:rPr>
          <w:rFonts w:ascii="Times New Roman"/>
        </w:rPr>
      </w:pPr>
      <w:r>
        <w:rPr>
          <w:rFonts w:hint="eastAsia" w:ascii="Times New Roman"/>
          <w:lang w:val="en-US" w:eastAsia="zh-CN"/>
        </w:rPr>
        <w:t>玻璃纤维及制品</w:t>
      </w:r>
      <w:r>
        <w:rPr>
          <w:rFonts w:ascii="Times New Roman"/>
        </w:rPr>
        <w:t>生产企业</w:t>
      </w:r>
      <w:r>
        <w:rPr>
          <w:rFonts w:hint="eastAsia" w:ascii="Times New Roman"/>
        </w:rPr>
        <w:t>温室气体</w:t>
      </w:r>
      <w:r>
        <w:rPr>
          <w:rFonts w:ascii="Times New Roman"/>
        </w:rPr>
        <w:t>排放总量等于</w:t>
      </w:r>
      <w:r>
        <w:rPr>
          <w:rFonts w:hint="eastAsia" w:ascii="Times New Roman"/>
        </w:rPr>
        <w:t>核算</w:t>
      </w:r>
      <w:r>
        <w:rPr>
          <w:rFonts w:ascii="Times New Roman"/>
        </w:rPr>
        <w:t>边界内</w:t>
      </w:r>
      <w:r>
        <w:rPr>
          <w:rFonts w:hint="eastAsia" w:ascii="Times New Roman"/>
        </w:rPr>
        <w:t>所有</w:t>
      </w:r>
      <w:r>
        <w:rPr>
          <w:rFonts w:ascii="Times New Roman"/>
        </w:rPr>
        <w:t>的</w:t>
      </w:r>
      <w:r>
        <w:rPr>
          <w:rFonts w:hint="eastAsia" w:ascii="Times New Roman"/>
        </w:rPr>
        <w:t>化石</w:t>
      </w:r>
      <w:r>
        <w:rPr>
          <w:rFonts w:ascii="Times New Roman"/>
        </w:rPr>
        <w:t>燃料燃烧排放量、</w:t>
      </w:r>
      <w:r>
        <w:rPr>
          <w:rFonts w:hint="eastAsia" w:ascii="Times New Roman"/>
          <w:lang w:val="en-US" w:eastAsia="zh-CN"/>
        </w:rPr>
        <w:t>过程排放量、</w:t>
      </w:r>
      <w:r>
        <w:rPr>
          <w:rFonts w:hint="eastAsia" w:ascii="Times New Roman"/>
        </w:rPr>
        <w:t>净</w:t>
      </w:r>
      <w:r>
        <w:rPr>
          <w:rFonts w:ascii="Times New Roman"/>
        </w:rPr>
        <w:t>购入</w:t>
      </w:r>
      <w:r>
        <w:rPr>
          <w:rFonts w:hint="eastAsia" w:ascii="Times New Roman"/>
        </w:rPr>
        <w:t>使用</w:t>
      </w:r>
      <w:r>
        <w:rPr>
          <w:rFonts w:ascii="Times New Roman"/>
        </w:rPr>
        <w:t>电力和热力产生的排放量之和，按</w:t>
      </w:r>
      <w:r>
        <w:rPr>
          <w:rFonts w:hint="eastAsia" w:ascii="Times New Roman"/>
          <w:lang w:eastAsia="zh-CN"/>
        </w:rPr>
        <w:t>公式（</w:t>
      </w:r>
      <w:r>
        <w:rPr>
          <w:rFonts w:hint="eastAsia" w:ascii="Times New Roman"/>
          <w:lang w:val="en-US" w:eastAsia="zh-CN"/>
        </w:rPr>
        <w:t>11</w:t>
      </w:r>
      <w:r>
        <w:rPr>
          <w:rFonts w:ascii="Times New Roman"/>
        </w:rPr>
        <w:t>）计算：</w:t>
      </w:r>
    </w:p>
    <w:p>
      <w:pPr>
        <w:pStyle w:val="166"/>
        <w:rPr>
          <w:rFonts w:ascii="Times New Roman" w:hAnsi="Times New Roman"/>
        </w:rPr>
      </w:pPr>
      <w:r>
        <w:rPr>
          <w:rFonts w:ascii="Times New Roman" w:hAnsi="Times New Roman"/>
        </w:rPr>
        <w:tab/>
      </w:r>
      <m:oMath>
        <m:r>
          <m:rPr/>
          <w:rPr>
            <w:rFonts w:ascii="Cambria Math" w:hAnsi="Cambria Math"/>
          </w:rPr>
          <m:t>E=</m:t>
        </m:r>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hint="eastAsia" w:ascii="Cambria Math" w:hAnsi="Cambria Math"/>
              </w:rPr>
              <m:t>燃烧</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hint="eastAsia" w:ascii="Cambria Math" w:hAnsi="Cambria Math"/>
                <w:lang w:val="en-US" w:eastAsia="zh-CN"/>
              </w:rPr>
              <m:t>过程</m:t>
            </m:r>
            <m:ctrlPr>
              <w:rPr>
                <w:rFonts w:ascii="Cambria Math" w:hAnsi="Cambria Math"/>
                <w:i/>
                <w:iCs/>
              </w:rPr>
            </m:ctrlPr>
          </m:sub>
        </m:sSub>
        <m:r>
          <m:rPr/>
          <w:rPr>
            <w:rFonts w:hint="default" w:ascii="Cambria Math" w:hAnsi="Cambria Math"/>
            <w:lang w:val="en-US" w:eastAsia="zh-CN"/>
          </w:rPr>
          <m:t>+</m:t>
        </m:r>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hint="eastAsia" w:ascii="Cambria Math" w:hAnsi="Cambria Math"/>
              </w:rPr>
              <m:t>电</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hint="eastAsia" w:ascii="Cambria Math" w:hAnsi="Cambria Math"/>
              </w:rPr>
              <m:t>热</m:t>
            </m:r>
            <m:ctrlPr>
              <w:rPr>
                <w:rFonts w:ascii="Cambria Math" w:hAnsi="Cambria Math"/>
                <w:i/>
                <w:iCs/>
              </w:rPr>
            </m:ctrlPr>
          </m:sub>
        </m:sSub>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11</w:t>
      </w:r>
      <w:r>
        <w:rPr>
          <w:rFonts w:hint="eastAsia" w:ascii="Times New Roman" w:hAnsi="Times New Roman"/>
        </w:rPr>
        <w:t>）</w:t>
      </w:r>
    </w:p>
    <w:p>
      <w:pPr>
        <w:pStyle w:val="167"/>
        <w:ind w:firstLine="420"/>
        <w:rPr>
          <w:rFonts w:ascii="Times New Roman" w:hAnsi="Times New Roman"/>
        </w:rPr>
      </w:pPr>
      <w:r>
        <w:rPr>
          <w:rFonts w:ascii="Times New Roman" w:hAnsi="Times New Roman"/>
        </w:rPr>
        <w:t>式中：</w:t>
      </w:r>
    </w:p>
    <w:tbl>
      <w:tblPr>
        <w:tblStyle w:val="39"/>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
        <w:gridCol w:w="340"/>
        <w:gridCol w:w="85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283" w:type="dxa"/>
          </w:tcPr>
          <w:p>
            <w:pPr>
              <w:pStyle w:val="159"/>
              <w:adjustRightInd w:val="0"/>
              <w:snapToGrid w:val="0"/>
              <w:ind w:firstLine="0" w:firstLineChars="0"/>
              <w:rPr>
                <w:rFonts w:ascii="Times New Roman"/>
                <w:szCs w:val="18"/>
              </w:rPr>
            </w:pPr>
            <m:oMathPara>
              <m:oMathParaPr>
                <m:jc m:val="left"/>
              </m:oMathParaPr>
              <m:oMath>
                <m:r>
                  <m:rPr/>
                  <w:rPr>
                    <w:rFonts w:ascii="Cambria Math" w:hAnsi="Cambria Math"/>
                    <w:szCs w:val="18"/>
                  </w:rPr>
                  <m:t>E</m:t>
                </m:r>
              </m:oMath>
            </m:oMathPara>
          </w:p>
        </w:tc>
        <w:tc>
          <w:tcPr>
            <w:tcW w:w="340" w:type="dxa"/>
          </w:tcPr>
          <w:p>
            <w:pPr>
              <w:pStyle w:val="159"/>
              <w:adjustRightInd w:val="0"/>
              <w:snapToGrid w:val="0"/>
              <w:ind w:left="-105" w:leftChars="-50" w:right="-105" w:rightChars="-50" w:firstLine="0" w:firstLineChars="0"/>
              <w:jc w:val="center"/>
              <w:rPr>
                <w:rFonts w:ascii="Times New Roman"/>
                <w:szCs w:val="18"/>
              </w:rPr>
            </w:pPr>
            <w:r>
              <w:rPr>
                <w:rFonts w:ascii="Times New Roman"/>
                <w:szCs w:val="18"/>
              </w:rPr>
              <w:t>—</w:t>
            </w:r>
          </w:p>
        </w:tc>
        <w:tc>
          <w:tcPr>
            <w:tcW w:w="8504" w:type="dxa"/>
          </w:tcPr>
          <w:p>
            <w:pPr>
              <w:pStyle w:val="159"/>
              <w:adjustRightInd w:val="0"/>
              <w:snapToGrid w:val="0"/>
              <w:ind w:left="-105" w:leftChars="-50" w:firstLine="0" w:firstLineChars="0"/>
              <w:rPr>
                <w:rFonts w:hint="eastAsia" w:ascii="Times New Roman" w:eastAsia="宋体"/>
                <w:szCs w:val="18"/>
                <w:lang w:eastAsia="zh-CN"/>
              </w:rPr>
            </w:pPr>
            <w:r>
              <w:rPr>
                <w:rFonts w:hint="eastAsia" w:ascii="Times New Roman"/>
                <w:szCs w:val="18"/>
              </w:rPr>
              <w:t>企业</w:t>
            </w:r>
            <w:r>
              <w:rPr>
                <w:rFonts w:ascii="Times New Roman"/>
                <w:szCs w:val="18"/>
              </w:rPr>
              <w:t>温室气体排放总量，</w:t>
            </w:r>
            <w:r>
              <w:rPr>
                <w:rFonts w:hint="eastAsia" w:ascii="Times New Roman"/>
                <w:szCs w:val="18"/>
              </w:rPr>
              <w:t>以</w:t>
            </w:r>
            <w:r>
              <w:rPr>
                <w:rFonts w:ascii="Times New Roman"/>
                <w:szCs w:val="18"/>
              </w:rPr>
              <w:t>吨二氧化碳（tCO</w:t>
            </w:r>
            <w:r>
              <w:rPr>
                <w:rFonts w:ascii="Times New Roman"/>
                <w:szCs w:val="18"/>
                <w:vertAlign w:val="subscript"/>
              </w:rPr>
              <w:t>2</w:t>
            </w:r>
            <w:r>
              <w:rPr>
                <w:rFonts w:ascii="Times New Roman"/>
                <w:szCs w:val="18"/>
              </w:rPr>
              <w:t>）</w:t>
            </w:r>
            <w:r>
              <w:rPr>
                <w:rFonts w:hint="eastAsia" w:ascii="Times New Roman"/>
                <w:szCs w:val="18"/>
              </w:rPr>
              <w:t>计</w:t>
            </w:r>
            <w:r>
              <w:rPr>
                <w:rFonts w:hint="eastAsia" w:ascii="Times New Roman"/>
                <w:szCs w:val="18"/>
                <w:lang w:eastAsia="zh-CN"/>
              </w:rPr>
              <w:t>。</w:t>
            </w:r>
          </w:p>
        </w:tc>
      </w:tr>
    </w:tbl>
    <w:p>
      <w:pPr>
        <w:pStyle w:val="59"/>
        <w:outlineLvl w:val="0"/>
        <w:rPr>
          <w:rFonts w:ascii="Times New Roman"/>
        </w:rPr>
      </w:pPr>
      <w:bookmarkStart w:id="98" w:name="_Toc14351"/>
      <w:bookmarkStart w:id="99" w:name="_Toc22782"/>
      <w:r>
        <w:rPr>
          <w:rFonts w:ascii="Times New Roman"/>
        </w:rPr>
        <w:t>数据质量管理</w:t>
      </w:r>
      <w:r>
        <w:rPr>
          <w:rFonts w:hint="eastAsia" w:ascii="Times New Roman"/>
          <w:lang w:val="en-US" w:eastAsia="zh-CN"/>
        </w:rPr>
        <w:t>要求</w:t>
      </w:r>
      <w:bookmarkEnd w:id="98"/>
      <w:bookmarkEnd w:id="99"/>
    </w:p>
    <w:p>
      <w:pPr>
        <w:pStyle w:val="159"/>
        <w:ind w:firstLine="420"/>
        <w:rPr>
          <w:rFonts w:ascii="Times New Roman"/>
        </w:rPr>
      </w:pPr>
      <w:r>
        <w:rPr>
          <w:rFonts w:ascii="Times New Roman"/>
        </w:rPr>
        <w:t>报告主体宜加强</w:t>
      </w:r>
      <w:r>
        <w:rPr>
          <w:rFonts w:hint="eastAsia" w:ascii="Times New Roman"/>
        </w:rPr>
        <w:t>温室气体排放</w:t>
      </w:r>
      <w:r>
        <w:rPr>
          <w:rFonts w:ascii="Times New Roman"/>
        </w:rPr>
        <w:t>数据质量管理工作，包括但不限于：</w:t>
      </w:r>
    </w:p>
    <w:p>
      <w:pPr>
        <w:pStyle w:val="165"/>
        <w:numPr>
          <w:ilvl w:val="0"/>
          <w:numId w:val="24"/>
        </w:numPr>
        <w:rPr>
          <w:rFonts w:ascii="Times New Roman"/>
        </w:rPr>
      </w:pPr>
      <w:r>
        <w:rPr>
          <w:rFonts w:hint="eastAsia" w:ascii="Times New Roman"/>
        </w:rPr>
        <w:t>建立企业温室气体排放核算和报告的规章制度，包括负责机构和人员、工作流程和内容、工作周期和时间节点等；指定专职人员负责企业温室气体排放核算和报告工作；</w:t>
      </w:r>
    </w:p>
    <w:p>
      <w:pPr>
        <w:pStyle w:val="165"/>
        <w:numPr>
          <w:ilvl w:val="0"/>
          <w:numId w:val="24"/>
        </w:numPr>
        <w:rPr>
          <w:rFonts w:ascii="Times New Roman"/>
        </w:rPr>
      </w:pPr>
      <w:r>
        <w:rPr>
          <w:rFonts w:hint="eastAsia" w:ascii="Times New Roman"/>
        </w:rPr>
        <w:t>根据各种类型的温室气体排放源的重要程度对其进行等级划分，并建立企业温室气体排放源一览表，对于不同等级的排放源的活动数据和排放因子数据的获取提出相应的要求；</w:t>
      </w:r>
    </w:p>
    <w:p>
      <w:pPr>
        <w:pStyle w:val="165"/>
        <w:numPr>
          <w:ilvl w:val="0"/>
          <w:numId w:val="24"/>
        </w:numPr>
        <w:rPr>
          <w:rFonts w:ascii="Times New Roman"/>
        </w:rPr>
      </w:pPr>
      <w:r>
        <w:rPr>
          <w:rFonts w:hint="eastAsia" w:ascii="Times New Roman"/>
        </w:rPr>
        <w:t>对现有监测条件进行评估，并参照</w:t>
      </w:r>
      <w:r>
        <w:rPr>
          <w:rFonts w:hint="eastAsia" w:ascii="Times New Roman"/>
          <w:highlight w:val="none"/>
        </w:rPr>
        <w:t>附录C</w:t>
      </w:r>
      <w:r>
        <w:rPr>
          <w:rFonts w:hint="eastAsia" w:ascii="Times New Roman"/>
        </w:rPr>
        <w:t>的模板制定相应的数据质量控制计划，包括对活动数据的监测和对燃料低位发热量</w:t>
      </w:r>
      <w:r>
        <w:rPr>
          <w:rFonts w:hint="eastAsia" w:ascii="Times New Roman"/>
          <w:lang w:eastAsia="zh-CN"/>
        </w:rPr>
        <w:t>、</w:t>
      </w:r>
      <w:r>
        <w:rPr>
          <w:rFonts w:hint="eastAsia" w:ascii="Times New Roman"/>
          <w:lang w:val="en-US" w:eastAsia="zh-CN"/>
        </w:rPr>
        <w:t>原料中碳酸盐质量含量</w:t>
      </w:r>
      <w:r>
        <w:rPr>
          <w:rFonts w:hint="eastAsia" w:ascii="Times New Roman"/>
        </w:rPr>
        <w:t>等参数的监测及获取要求；定期对计量器具、检测设备和在线监测仪表进行维护管理，并记录存档；</w:t>
      </w:r>
    </w:p>
    <w:p>
      <w:pPr>
        <w:pStyle w:val="165"/>
        <w:numPr>
          <w:ilvl w:val="0"/>
          <w:numId w:val="24"/>
        </w:numPr>
        <w:rPr>
          <w:rFonts w:ascii="Times New Roman"/>
        </w:rPr>
      </w:pPr>
      <w:r>
        <w:rPr>
          <w:rFonts w:hint="eastAsia" w:ascii="Times New Roman"/>
        </w:rPr>
        <w:t>建立健全温室气体排放数据记录管理体系，包括数据来源，数据获取时间以及相关责任人等信息的记录管理；</w:t>
      </w:r>
    </w:p>
    <w:p>
      <w:pPr>
        <w:pStyle w:val="165"/>
        <w:numPr>
          <w:ilvl w:val="0"/>
          <w:numId w:val="24"/>
        </w:numPr>
        <w:rPr>
          <w:rFonts w:ascii="Times New Roman"/>
        </w:rPr>
      </w:pPr>
      <w:r>
        <w:rPr>
          <w:rFonts w:hint="eastAsia" w:ascii="Times New Roman"/>
        </w:rPr>
        <w:t>建立企业温室气体排放报告内部审核制度。定期对温室气体排放数据进行交叉校验，对可能产生的数据误差风险进行识别，并提出相应的解决方案</w:t>
      </w:r>
      <w:r>
        <w:rPr>
          <w:rFonts w:ascii="Times New Roman"/>
        </w:rPr>
        <w:t>。</w:t>
      </w:r>
    </w:p>
    <w:p>
      <w:pPr>
        <w:pStyle w:val="59"/>
        <w:outlineLvl w:val="0"/>
        <w:rPr>
          <w:rFonts w:ascii="Times New Roman"/>
        </w:rPr>
      </w:pPr>
      <w:bookmarkStart w:id="100" w:name="_Toc128676563"/>
      <w:bookmarkStart w:id="101" w:name="_Toc128585861"/>
      <w:bookmarkStart w:id="102" w:name="_Toc128508372"/>
      <w:bookmarkStart w:id="103" w:name="_Toc128508304"/>
      <w:bookmarkStart w:id="104" w:name="_Toc3744"/>
      <w:bookmarkStart w:id="105" w:name="_Toc128508456"/>
      <w:bookmarkStart w:id="106" w:name="_Toc23382"/>
      <w:r>
        <w:rPr>
          <w:rFonts w:ascii="Times New Roman"/>
        </w:rPr>
        <w:t>报告内容和格式</w:t>
      </w:r>
      <w:bookmarkEnd w:id="100"/>
      <w:bookmarkEnd w:id="101"/>
      <w:bookmarkEnd w:id="102"/>
      <w:bookmarkEnd w:id="103"/>
      <w:bookmarkEnd w:id="104"/>
      <w:bookmarkEnd w:id="105"/>
      <w:bookmarkEnd w:id="106"/>
    </w:p>
    <w:p>
      <w:pPr>
        <w:pStyle w:val="56"/>
        <w:bidi w:val="0"/>
        <w:ind w:left="0" w:leftChars="0" w:firstLine="0" w:firstLineChars="0"/>
        <w:rPr>
          <w:rFonts w:ascii="Times New Roman"/>
        </w:rPr>
      </w:pPr>
      <w:bookmarkStart w:id="107" w:name="_Toc18979"/>
      <w:bookmarkStart w:id="108" w:name="_Toc19931"/>
      <w:r>
        <w:rPr>
          <w:rFonts w:hint="eastAsia" w:ascii="Times New Roman"/>
        </w:rPr>
        <w:t>通则</w:t>
      </w:r>
      <w:bookmarkEnd w:id="107"/>
      <w:bookmarkEnd w:id="108"/>
    </w:p>
    <w:p>
      <w:pPr>
        <w:pStyle w:val="159"/>
        <w:ind w:firstLine="420"/>
        <w:rPr>
          <w:rFonts w:ascii="Times New Roman"/>
        </w:rPr>
      </w:pPr>
      <w:r>
        <w:rPr>
          <w:rFonts w:hint="eastAsia" w:ascii="Times New Roman"/>
        </w:rPr>
        <w:t>报告内容应包括报告主体基本信息、温室气体排放量、活动数据及其来源和排放因子及其来源，报告格式</w:t>
      </w:r>
      <w:r>
        <w:rPr>
          <w:rFonts w:hint="eastAsia" w:ascii="Times New Roman"/>
          <w:highlight w:val="none"/>
        </w:rPr>
        <w:t>参照附录</w:t>
      </w:r>
      <w:r>
        <w:rPr>
          <w:rFonts w:ascii="Times New Roman"/>
          <w:highlight w:val="none"/>
        </w:rPr>
        <w:t>A</w:t>
      </w:r>
      <w:r>
        <w:rPr>
          <w:rFonts w:ascii="Times New Roman"/>
        </w:rPr>
        <w:t>。</w:t>
      </w:r>
    </w:p>
    <w:p>
      <w:pPr>
        <w:pStyle w:val="56"/>
        <w:bidi w:val="0"/>
        <w:ind w:left="0" w:leftChars="0" w:firstLine="0" w:firstLineChars="0"/>
        <w:rPr>
          <w:rFonts w:ascii="Times New Roman"/>
        </w:rPr>
      </w:pPr>
      <w:bookmarkStart w:id="109" w:name="_Toc128585863"/>
      <w:bookmarkStart w:id="110" w:name="_Toc128508458"/>
      <w:bookmarkStart w:id="111" w:name="_Toc128508306"/>
      <w:bookmarkStart w:id="112" w:name="_Toc128508374"/>
      <w:bookmarkStart w:id="113" w:name="_Toc128676565"/>
      <w:bookmarkStart w:id="114" w:name="_Toc22181"/>
      <w:bookmarkStart w:id="115" w:name="_Toc9429"/>
      <w:r>
        <w:rPr>
          <w:rFonts w:ascii="Times New Roman"/>
        </w:rPr>
        <w:t>报告主体基本信息</w:t>
      </w:r>
      <w:bookmarkEnd w:id="109"/>
      <w:bookmarkEnd w:id="110"/>
      <w:bookmarkEnd w:id="111"/>
      <w:bookmarkEnd w:id="112"/>
      <w:bookmarkEnd w:id="113"/>
      <w:bookmarkEnd w:id="114"/>
      <w:bookmarkEnd w:id="115"/>
    </w:p>
    <w:p>
      <w:pPr>
        <w:pStyle w:val="159"/>
        <w:ind w:firstLine="420"/>
        <w:rPr>
          <w:rFonts w:ascii="Times New Roman"/>
        </w:rPr>
      </w:pPr>
      <w:r>
        <w:rPr>
          <w:rFonts w:hint="eastAsia" w:ascii="Times New Roman"/>
        </w:rPr>
        <w:t>报告主体基本信息应包括报告主体名称、单位性质、报告年度、所属行业、设计产能、排污许可证编号、统一社会信用代码、法定代表人、填报负责人和联系人信息等。</w:t>
      </w:r>
    </w:p>
    <w:p>
      <w:pPr>
        <w:pStyle w:val="159"/>
        <w:ind w:firstLine="420"/>
        <w:rPr>
          <w:rFonts w:ascii="Times New Roman"/>
        </w:rPr>
      </w:pPr>
      <w:r>
        <w:rPr>
          <w:rFonts w:hint="eastAsia" w:ascii="Times New Roman"/>
        </w:rPr>
        <w:t>报告主体基本信息还应包括核算边界、主营产品</w:t>
      </w:r>
      <w:r>
        <w:rPr>
          <w:rFonts w:hint="eastAsia" w:ascii="Times New Roman"/>
          <w:lang w:val="en-US" w:eastAsia="zh-CN"/>
        </w:rPr>
        <w:t>及对应</w:t>
      </w:r>
      <w:r>
        <w:rPr>
          <w:rFonts w:hint="eastAsia" w:ascii="Times New Roman"/>
        </w:rPr>
        <w:t>工艺流程以及排放源识别情况的详细说明（必要时应附表和附图）</w:t>
      </w:r>
      <w:r>
        <w:rPr>
          <w:rFonts w:ascii="Times New Roman"/>
        </w:rPr>
        <w:t>。</w:t>
      </w:r>
    </w:p>
    <w:p>
      <w:pPr>
        <w:pStyle w:val="56"/>
        <w:bidi w:val="0"/>
        <w:ind w:left="0" w:leftChars="0" w:firstLine="0" w:firstLineChars="0"/>
        <w:rPr>
          <w:rFonts w:ascii="Times New Roman"/>
        </w:rPr>
      </w:pPr>
      <w:bookmarkStart w:id="116" w:name="_Toc128508307"/>
      <w:bookmarkStart w:id="117" w:name="_Toc15856"/>
      <w:bookmarkStart w:id="118" w:name="_Toc128508375"/>
      <w:bookmarkStart w:id="119" w:name="_Toc128676566"/>
      <w:bookmarkStart w:id="120" w:name="_Toc128508459"/>
      <w:bookmarkStart w:id="121" w:name="_Toc128585864"/>
      <w:bookmarkStart w:id="122" w:name="_Toc700"/>
      <w:r>
        <w:rPr>
          <w:rFonts w:hint="eastAsia" w:ascii="Times New Roman"/>
        </w:rPr>
        <w:t>温室气体</w:t>
      </w:r>
      <w:r>
        <w:rPr>
          <w:rFonts w:ascii="Times New Roman"/>
        </w:rPr>
        <w:t>排放量</w:t>
      </w:r>
      <w:bookmarkEnd w:id="116"/>
      <w:bookmarkEnd w:id="117"/>
      <w:bookmarkEnd w:id="118"/>
      <w:bookmarkEnd w:id="119"/>
      <w:bookmarkEnd w:id="120"/>
      <w:bookmarkEnd w:id="121"/>
      <w:bookmarkEnd w:id="122"/>
    </w:p>
    <w:p>
      <w:pPr>
        <w:pStyle w:val="159"/>
        <w:ind w:firstLine="420"/>
        <w:rPr>
          <w:rFonts w:ascii="Times New Roman"/>
        </w:rPr>
      </w:pPr>
      <w:r>
        <w:rPr>
          <w:rFonts w:hint="eastAsia" w:ascii="Times New Roman"/>
        </w:rPr>
        <w:t>报告主体应报告年度温室气体排放总量，并分别报告化石燃料燃烧排放、</w:t>
      </w:r>
      <w:r>
        <w:rPr>
          <w:rFonts w:hint="eastAsia" w:ascii="Times New Roman"/>
          <w:lang w:val="en-US" w:eastAsia="zh-CN"/>
        </w:rPr>
        <w:t>过程排放、</w:t>
      </w:r>
      <w:r>
        <w:rPr>
          <w:rFonts w:hint="eastAsia" w:ascii="Times New Roman"/>
        </w:rPr>
        <w:t>购入和输出的电力和热力产生的排放。</w:t>
      </w:r>
    </w:p>
    <w:p>
      <w:pPr>
        <w:pStyle w:val="56"/>
        <w:bidi w:val="0"/>
        <w:ind w:left="0" w:leftChars="0" w:firstLine="0" w:firstLineChars="0"/>
        <w:rPr>
          <w:rFonts w:ascii="Times New Roman"/>
        </w:rPr>
      </w:pPr>
      <w:bookmarkStart w:id="123" w:name="_Toc17351"/>
      <w:bookmarkStart w:id="124" w:name="_Toc128676567"/>
      <w:bookmarkStart w:id="125" w:name="_Toc128585865"/>
      <w:bookmarkStart w:id="126" w:name="_Toc128508376"/>
      <w:bookmarkStart w:id="127" w:name="_Toc128508460"/>
      <w:bookmarkStart w:id="128" w:name="_Toc128508308"/>
      <w:bookmarkStart w:id="129" w:name="_Toc13621"/>
      <w:r>
        <w:rPr>
          <w:rFonts w:ascii="Times New Roman"/>
        </w:rPr>
        <w:t>活动数据及来源</w:t>
      </w:r>
      <w:bookmarkEnd w:id="123"/>
      <w:bookmarkEnd w:id="124"/>
      <w:bookmarkEnd w:id="125"/>
      <w:bookmarkEnd w:id="126"/>
      <w:bookmarkEnd w:id="127"/>
      <w:bookmarkEnd w:id="128"/>
      <w:bookmarkEnd w:id="129"/>
    </w:p>
    <w:p>
      <w:pPr>
        <w:pStyle w:val="159"/>
        <w:ind w:firstLine="420"/>
        <w:rPr>
          <w:rFonts w:ascii="Times New Roman"/>
        </w:rPr>
      </w:pPr>
      <w:r>
        <w:rPr>
          <w:rFonts w:hint="eastAsia" w:ascii="Times New Roman"/>
        </w:rPr>
        <w:t>报告主体应报告企业在报告年度内用于工业生产所使用的各种化石燃料的消耗量和对应低位发热量、</w:t>
      </w:r>
      <w:r>
        <w:rPr>
          <w:rFonts w:hint="eastAsia" w:ascii="Times New Roman"/>
          <w:lang w:val="en-US" w:eastAsia="zh-CN"/>
        </w:rPr>
        <w:t>每种碳酸盐类原材料的消耗量及对应碳酸盐质量分数、</w:t>
      </w:r>
      <w:r>
        <w:rPr>
          <w:rFonts w:hint="eastAsia" w:ascii="Times New Roman"/>
        </w:rPr>
        <w:t>购入和输出的电力和热力，并说明这些数据的来源。</w:t>
      </w:r>
    </w:p>
    <w:p>
      <w:pPr>
        <w:pStyle w:val="159"/>
        <w:ind w:firstLine="420"/>
        <w:rPr>
          <w:rFonts w:ascii="Times New Roman"/>
        </w:rPr>
      </w:pPr>
      <w:r>
        <w:rPr>
          <w:rFonts w:hint="eastAsia" w:ascii="Times New Roman"/>
        </w:rPr>
        <w:t>报告主体如果还从事</w:t>
      </w:r>
      <w:r>
        <w:rPr>
          <w:rFonts w:hint="eastAsia" w:ascii="Times New Roman" w:hAnsi="Times New Roman" w:eastAsia="宋体" w:cs="Times New Roman"/>
        </w:rPr>
        <w:t>玻璃纤维</w:t>
      </w:r>
      <w:r>
        <w:rPr>
          <w:rFonts w:hint="eastAsia" w:ascii="Times New Roman" w:hAnsi="Times New Roman" w:eastAsia="宋体" w:cs="Times New Roman"/>
          <w:lang w:val="en-US" w:eastAsia="zh-CN"/>
        </w:rPr>
        <w:t>及制品</w:t>
      </w:r>
      <w:r>
        <w:rPr>
          <w:rFonts w:hint="eastAsia" w:ascii="Times New Roman"/>
        </w:rPr>
        <w:t>生产以外的产品生产活动，并存在本文件未涵盖的温室气体排放环节，则应按照其他相关行业的企业温室气体排放核算与报告要求，一并报告其活动数据及来源。</w:t>
      </w:r>
    </w:p>
    <w:p>
      <w:pPr>
        <w:pStyle w:val="56"/>
        <w:bidi w:val="0"/>
        <w:ind w:left="0" w:leftChars="0" w:firstLine="0" w:firstLineChars="0"/>
        <w:rPr>
          <w:rFonts w:ascii="Times New Roman"/>
        </w:rPr>
      </w:pPr>
      <w:bookmarkStart w:id="130" w:name="_Toc128676568"/>
      <w:bookmarkStart w:id="131" w:name="_Toc128508309"/>
      <w:bookmarkStart w:id="132" w:name="_Toc128508377"/>
      <w:bookmarkStart w:id="133" w:name="_Toc6284"/>
      <w:bookmarkStart w:id="134" w:name="_Toc128508461"/>
      <w:bookmarkStart w:id="135" w:name="_Toc128585866"/>
      <w:bookmarkStart w:id="136" w:name="_Toc6954"/>
      <w:r>
        <w:rPr>
          <w:rFonts w:ascii="Times New Roman"/>
        </w:rPr>
        <w:t>排放因子</w:t>
      </w:r>
      <w:r>
        <w:rPr>
          <w:rFonts w:hint="eastAsia" w:ascii="Times New Roman"/>
        </w:rPr>
        <w:t>数据</w:t>
      </w:r>
      <w:r>
        <w:rPr>
          <w:rFonts w:ascii="Times New Roman"/>
        </w:rPr>
        <w:t>及来源</w:t>
      </w:r>
      <w:bookmarkEnd w:id="130"/>
      <w:bookmarkEnd w:id="131"/>
      <w:bookmarkEnd w:id="132"/>
      <w:bookmarkEnd w:id="133"/>
      <w:bookmarkEnd w:id="134"/>
      <w:bookmarkEnd w:id="135"/>
      <w:bookmarkEnd w:id="136"/>
    </w:p>
    <w:p>
      <w:pPr>
        <w:pStyle w:val="159"/>
        <w:ind w:firstLine="420"/>
        <w:rPr>
          <w:rFonts w:ascii="Times New Roman"/>
        </w:rPr>
      </w:pPr>
      <w:r>
        <w:rPr>
          <w:rFonts w:hint="eastAsia" w:ascii="Times New Roman"/>
        </w:rPr>
        <w:t>报告主体应报告企业在报告年度内下列排放因子</w:t>
      </w:r>
      <w:r>
        <w:rPr>
          <w:rFonts w:ascii="Times New Roman"/>
        </w:rPr>
        <w:t>：</w:t>
      </w:r>
    </w:p>
    <w:p>
      <w:pPr>
        <w:pStyle w:val="165"/>
        <w:numPr>
          <w:ilvl w:val="0"/>
          <w:numId w:val="25"/>
        </w:numPr>
        <w:rPr>
          <w:rFonts w:ascii="Times New Roman"/>
        </w:rPr>
      </w:pPr>
      <w:r>
        <w:rPr>
          <w:rFonts w:hint="eastAsia" w:ascii="Times New Roman"/>
        </w:rPr>
        <w:t>生产所使用的各种化石燃料的单位热值含碳量和碳氧化率数据，可选用表B.1的缺省值；</w:t>
      </w:r>
    </w:p>
    <w:p>
      <w:pPr>
        <w:pStyle w:val="165"/>
        <w:numPr>
          <w:ilvl w:val="0"/>
          <w:numId w:val="25"/>
        </w:numPr>
        <w:rPr>
          <w:rFonts w:ascii="Times New Roman"/>
        </w:rPr>
      </w:pPr>
      <w:r>
        <w:rPr>
          <w:rFonts w:hint="eastAsia" w:ascii="Times New Roman"/>
          <w:lang w:val="en-US" w:eastAsia="zh-CN"/>
        </w:rPr>
        <w:t>每种碳酸盐的排放因子，</w:t>
      </w:r>
      <w:r>
        <w:rPr>
          <w:rFonts w:hint="eastAsia" w:ascii="Times New Roman"/>
        </w:rPr>
        <w:t>可选用表B.</w:t>
      </w:r>
      <w:r>
        <w:rPr>
          <w:rFonts w:hint="eastAsia" w:ascii="Times New Roman"/>
          <w:lang w:val="en-US" w:eastAsia="zh-CN"/>
        </w:rPr>
        <w:t>2</w:t>
      </w:r>
      <w:r>
        <w:rPr>
          <w:rFonts w:hint="eastAsia" w:ascii="Times New Roman"/>
        </w:rPr>
        <w:t>的缺省值</w:t>
      </w:r>
      <w:r>
        <w:rPr>
          <w:rFonts w:hint="eastAsia" w:ascii="Times New Roman"/>
          <w:lang w:val="en-US" w:eastAsia="zh-CN"/>
        </w:rPr>
        <w:t>；</w:t>
      </w:r>
    </w:p>
    <w:p>
      <w:pPr>
        <w:pStyle w:val="165"/>
        <w:numPr>
          <w:ilvl w:val="0"/>
          <w:numId w:val="25"/>
        </w:numPr>
        <w:rPr>
          <w:rFonts w:ascii="Times New Roman"/>
        </w:rPr>
      </w:pPr>
      <w:r>
        <w:rPr>
          <w:rFonts w:hint="eastAsia" w:ascii="Times New Roman"/>
        </w:rPr>
        <w:t>电力排放因子和热力排放因子数据</w:t>
      </w:r>
      <w:r>
        <w:rPr>
          <w:rFonts w:ascii="Times New Roman"/>
        </w:rPr>
        <w:t>。</w:t>
      </w:r>
    </w:p>
    <w:p>
      <w:pPr>
        <w:pStyle w:val="159"/>
        <w:ind w:firstLine="420"/>
        <w:rPr>
          <w:rFonts w:ascii="Times New Roman"/>
        </w:rPr>
      </w:pPr>
      <w:r>
        <w:rPr>
          <w:rFonts w:hint="eastAsia" w:ascii="Times New Roman"/>
        </w:rPr>
        <w:t>报告主体如果还从事</w:t>
      </w:r>
      <w:r>
        <w:rPr>
          <w:rFonts w:hint="eastAsia" w:ascii="Times New Roman"/>
          <w:lang w:val="en-US" w:eastAsia="zh-CN"/>
        </w:rPr>
        <w:t>玻璃纤维及</w:t>
      </w:r>
      <w:r>
        <w:rPr>
          <w:rFonts w:hint="eastAsia" w:ascii="Times New Roman"/>
        </w:rPr>
        <w:t>制品生产以外的其他产品生产活动，并存在本文件未涵盖的温室气体排放环节，则应按照其他相关行业的企业温室气体排放核算和报告要求，一并报告其排放因子数据及来源。</w:t>
      </w:r>
    </w:p>
    <w:p>
      <w:pPr>
        <w:pStyle w:val="56"/>
        <w:bidi w:val="0"/>
        <w:ind w:left="0" w:leftChars="0" w:firstLine="0" w:firstLineChars="0"/>
        <w:rPr>
          <w:rFonts w:ascii="Times New Roman"/>
        </w:rPr>
      </w:pPr>
      <w:bookmarkStart w:id="137" w:name="_Toc23314"/>
      <w:bookmarkStart w:id="138" w:name="_Toc2906"/>
      <w:r>
        <w:rPr>
          <w:rFonts w:hint="eastAsia" w:ascii="Times New Roman"/>
        </w:rPr>
        <w:t>其他报告信息</w:t>
      </w:r>
      <w:bookmarkEnd w:id="137"/>
      <w:bookmarkEnd w:id="138"/>
    </w:p>
    <w:p>
      <w:pPr>
        <w:pStyle w:val="60"/>
        <w:bidi w:val="0"/>
        <w:ind w:left="0" w:leftChars="0" w:firstLine="0" w:firstLineChars="0"/>
        <w:rPr>
          <w:rFonts w:ascii="Times New Roman"/>
        </w:rPr>
      </w:pPr>
      <w:r>
        <w:rPr>
          <w:rFonts w:hint="eastAsia" w:ascii="Times New Roman"/>
        </w:rPr>
        <w:t>供应链温室气体排放</w:t>
      </w:r>
    </w:p>
    <w:p>
      <w:pPr>
        <w:pStyle w:val="159"/>
        <w:ind w:firstLine="420"/>
        <w:rPr>
          <w:rFonts w:ascii="Times New Roman"/>
        </w:rPr>
      </w:pPr>
      <w:r>
        <w:rPr>
          <w:rFonts w:hint="eastAsia" w:ascii="Times New Roman"/>
        </w:rPr>
        <w:t>报告主体宜报告企业供应链上下游的温室气体排放相较于企业边界内的排放而言不能忽略不计的部分排放情况，并明确核算方法。例如：外购玻璃纤维纱生产玻璃纤维制品</w:t>
      </w:r>
      <w:r>
        <w:rPr>
          <w:rFonts w:hint="eastAsia" w:ascii="Times New Roman"/>
          <w:lang w:val="en-US" w:eastAsia="zh-CN"/>
        </w:rPr>
        <w:t>的企业，原材料玻璃纤维纱生产制造过程对应的温室气体排放</w:t>
      </w:r>
      <w:r>
        <w:rPr>
          <w:rFonts w:hint="eastAsia" w:ascii="Times New Roman"/>
        </w:rPr>
        <w:t>。</w:t>
      </w:r>
    </w:p>
    <w:p>
      <w:pPr>
        <w:pStyle w:val="60"/>
        <w:bidi w:val="0"/>
        <w:ind w:left="0" w:leftChars="0" w:firstLine="0" w:firstLineChars="0"/>
        <w:rPr>
          <w:rFonts w:hint="eastAsia" w:ascii="Times New Roman"/>
        </w:rPr>
      </w:pPr>
      <w:r>
        <w:rPr>
          <w:rFonts w:hint="eastAsia" w:ascii="Times New Roman"/>
        </w:rPr>
        <w:t>碳捕获、利用与封存</w:t>
      </w:r>
      <w:r>
        <w:rPr>
          <w:rFonts w:hint="eastAsia" w:ascii="Times New Roman"/>
          <w:lang w:val="en-US" w:eastAsia="zh-CN"/>
        </w:rPr>
        <w:t>减排量</w:t>
      </w:r>
    </w:p>
    <w:p>
      <w:pPr>
        <w:pStyle w:val="159"/>
        <w:ind w:firstLine="420"/>
        <w:rPr>
          <w:rFonts w:hint="eastAsia" w:ascii="Times New Roman"/>
        </w:rPr>
      </w:pPr>
      <w:r>
        <w:rPr>
          <w:rFonts w:hint="eastAsia" w:ascii="Times New Roman"/>
        </w:rPr>
        <w:t>报告主体</w:t>
      </w:r>
      <w:r>
        <w:rPr>
          <w:rFonts w:hint="eastAsia" w:ascii="Times New Roman"/>
          <w:lang w:val="en-US" w:eastAsia="zh-CN"/>
        </w:rPr>
        <w:t>涉及</w:t>
      </w:r>
      <w:r>
        <w:rPr>
          <w:rFonts w:hint="eastAsia" w:ascii="Times New Roman"/>
        </w:rPr>
        <w:t>碳捕获、利用与封存（CCUS）的减排量，</w:t>
      </w:r>
      <w:r>
        <w:rPr>
          <w:rFonts w:hint="eastAsia" w:ascii="Times New Roman"/>
          <w:highlight w:val="none"/>
        </w:rPr>
        <w:t>宜单独报告并明确核算方法或计量方法</w:t>
      </w:r>
      <w:r>
        <w:rPr>
          <w:rFonts w:hint="eastAsia" w:ascii="Times New Roman"/>
        </w:rPr>
        <w:t>。</w:t>
      </w:r>
    </w:p>
    <w:p>
      <w:pPr>
        <w:pStyle w:val="60"/>
        <w:bidi w:val="0"/>
        <w:ind w:left="0" w:leftChars="0" w:firstLine="0" w:firstLineChars="0"/>
        <w:rPr>
          <w:rFonts w:hint="eastAsia" w:ascii="Times New Roman"/>
        </w:rPr>
      </w:pPr>
      <w:r>
        <w:rPr>
          <w:rFonts w:hint="eastAsia" w:ascii="Times New Roman"/>
        </w:rPr>
        <w:t>污水厌氧处理的温室气体排放量</w:t>
      </w:r>
    </w:p>
    <w:p>
      <w:pPr>
        <w:pStyle w:val="159"/>
        <w:ind w:firstLine="420"/>
        <w:rPr>
          <w:rFonts w:hint="eastAsia" w:ascii="Times New Roman"/>
          <w:highlight w:val="none"/>
        </w:rPr>
      </w:pPr>
      <w:r>
        <w:rPr>
          <w:rFonts w:hint="eastAsia" w:ascii="Times New Roman"/>
        </w:rPr>
        <w:t>报告主体</w:t>
      </w:r>
      <w:r>
        <w:rPr>
          <w:rFonts w:hint="eastAsia" w:ascii="Times New Roman"/>
          <w:highlight w:val="none"/>
        </w:rPr>
        <w:t>涉及污水厌氧处理的温室气体排放量，宜单独报告并明确核算方法或计量方法</w:t>
      </w:r>
      <w:r>
        <w:rPr>
          <w:rFonts w:hint="eastAsia" w:ascii="Times New Roman"/>
          <w:highlight w:val="none"/>
          <w:lang w:eastAsia="zh-CN"/>
        </w:rPr>
        <w:t>。</w:t>
      </w:r>
      <w:r>
        <w:rPr>
          <w:rFonts w:hint="eastAsia" w:ascii="Times New Roman"/>
          <w:highlight w:val="none"/>
          <w:lang w:val="en-US" w:eastAsia="zh-CN"/>
        </w:rPr>
        <w:t>计算方法可参考本文件附录D</w:t>
      </w:r>
      <w:r>
        <w:rPr>
          <w:rFonts w:hint="eastAsia" w:ascii="Times New Roman"/>
          <w:highlight w:val="none"/>
        </w:rPr>
        <w:t>。</w:t>
      </w:r>
    </w:p>
    <w:bookmarkEnd w:id="64"/>
    <w:bookmarkEnd w:id="65"/>
    <w:bookmarkEnd w:id="94"/>
    <w:p>
      <w:pPr>
        <w:rPr>
          <w:rFonts w:hint="eastAsia" w:hAnsi="Times New Roman" w:cs="Times New Roman"/>
          <w:color w:val="auto"/>
          <w:highlight w:val="none"/>
        </w:rPr>
      </w:pPr>
      <w:r>
        <w:rPr>
          <w:rFonts w:hint="eastAsia" w:hAnsi="Times New Roman" w:cs="Times New Roman"/>
          <w:color w:val="auto"/>
          <w:highlight w:val="none"/>
        </w:rPr>
        <w:br w:type="page"/>
      </w:r>
    </w:p>
    <w:p>
      <w:pPr>
        <w:pStyle w:val="171"/>
        <w:spacing w:before="78" w:after="156"/>
        <w:rPr>
          <w:rFonts w:ascii="Times New Roman"/>
        </w:rPr>
      </w:pPr>
      <w:bookmarkStart w:id="139" w:name="_Toc13810"/>
      <w:bookmarkStart w:id="140" w:name="_Toc17937"/>
      <w:r>
        <w:rPr>
          <w:rFonts w:ascii="Times New Roman"/>
        </w:rPr>
        <w:br w:type="textWrapping"/>
      </w:r>
      <w:bookmarkStart w:id="141" w:name="_Toc128508462"/>
      <w:bookmarkStart w:id="142" w:name="_Toc128585867"/>
      <w:bookmarkStart w:id="143" w:name="_Toc128676569"/>
      <w:bookmarkStart w:id="144" w:name="_Toc128508310"/>
      <w:bookmarkStart w:id="145" w:name="_Toc128508378"/>
      <w:r>
        <w:rPr>
          <w:rFonts w:ascii="Times New Roman"/>
        </w:rPr>
        <w:t>（资料性）</w:t>
      </w:r>
      <w:r>
        <w:rPr>
          <w:rFonts w:ascii="Times New Roman"/>
        </w:rPr>
        <w:br w:type="textWrapping"/>
      </w:r>
      <w:r>
        <w:rPr>
          <w:rFonts w:ascii="Times New Roman"/>
        </w:rPr>
        <w:t>报告格式模板</w:t>
      </w:r>
      <w:bookmarkEnd w:id="139"/>
      <w:bookmarkEnd w:id="140"/>
      <w:bookmarkEnd w:id="141"/>
      <w:bookmarkEnd w:id="142"/>
      <w:bookmarkEnd w:id="143"/>
      <w:bookmarkEnd w:id="144"/>
      <w:bookmarkEnd w:id="145"/>
    </w:p>
    <w:p>
      <w:pPr>
        <w:pStyle w:val="159"/>
        <w:ind w:firstLine="420"/>
        <w:rPr>
          <w:rFonts w:ascii="Times New Roman"/>
        </w:rPr>
      </w:pPr>
    </w:p>
    <w:p>
      <w:pPr>
        <w:pStyle w:val="159"/>
        <w:ind w:firstLine="420"/>
        <w:rPr>
          <w:rFonts w:ascii="Times New Roman"/>
        </w:rPr>
      </w:pPr>
    </w:p>
    <w:p>
      <w:pPr>
        <w:pStyle w:val="159"/>
        <w:ind w:firstLine="420"/>
        <w:rPr>
          <w:rFonts w:ascii="Times New Roman"/>
        </w:rPr>
      </w:pPr>
    </w:p>
    <w:p>
      <w:pPr>
        <w:pStyle w:val="159"/>
        <w:ind w:firstLine="420"/>
        <w:rPr>
          <w:rFonts w:ascii="Times New Roman"/>
        </w:rPr>
      </w:pPr>
    </w:p>
    <w:p>
      <w:pPr>
        <w:pStyle w:val="159"/>
        <w:ind w:firstLine="420"/>
        <w:rPr>
          <w:rFonts w:ascii="Times New Roman"/>
        </w:rPr>
      </w:pPr>
    </w:p>
    <w:p>
      <w:pPr>
        <w:pStyle w:val="26"/>
        <w:ind w:firstLine="723"/>
        <w:jc w:val="center"/>
        <w:rPr>
          <w:rFonts w:ascii="Times New Roman"/>
          <w:b/>
          <w:sz w:val="36"/>
          <w:szCs w:val="36"/>
        </w:rPr>
      </w:pPr>
    </w:p>
    <w:p>
      <w:pPr>
        <w:pStyle w:val="26"/>
        <w:ind w:firstLine="723"/>
        <w:jc w:val="center"/>
        <w:rPr>
          <w:rFonts w:ascii="Times New Roman"/>
          <w:b/>
          <w:sz w:val="36"/>
          <w:szCs w:val="36"/>
        </w:rPr>
      </w:pPr>
    </w:p>
    <w:p>
      <w:pPr>
        <w:pStyle w:val="26"/>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ascii="Times New Roman"/>
          <w:b/>
          <w:sz w:val="36"/>
          <w:szCs w:val="36"/>
        </w:rPr>
      </w:pPr>
      <w:r>
        <w:rPr>
          <w:rFonts w:hint="eastAsia" w:ascii="Times New Roman"/>
          <w:b/>
          <w:sz w:val="36"/>
          <w:szCs w:val="36"/>
          <w:lang w:val="en-US" w:eastAsia="zh-CN"/>
        </w:rPr>
        <w:t>玻璃纤维及</w:t>
      </w:r>
      <w:r>
        <w:rPr>
          <w:rFonts w:ascii="Times New Roman"/>
          <w:b/>
          <w:sz w:val="36"/>
          <w:szCs w:val="36"/>
        </w:rPr>
        <w:t>制品</w:t>
      </w:r>
      <w:r>
        <w:rPr>
          <w:rFonts w:hint="eastAsia" w:ascii="Times New Roman"/>
          <w:b/>
          <w:sz w:val="36"/>
          <w:szCs w:val="36"/>
        </w:rPr>
        <w:t>生产</w:t>
      </w:r>
      <w:r>
        <w:rPr>
          <w:rFonts w:ascii="Times New Roman"/>
          <w:b/>
          <w:sz w:val="36"/>
          <w:szCs w:val="36"/>
        </w:rPr>
        <w:t>企业</w:t>
      </w:r>
      <w:r>
        <w:rPr>
          <w:rFonts w:hint="eastAsia" w:ascii="Times New Roman"/>
          <w:b/>
          <w:sz w:val="36"/>
          <w:szCs w:val="36"/>
        </w:rPr>
        <w:t>温室气体</w:t>
      </w:r>
      <w:r>
        <w:rPr>
          <w:rFonts w:ascii="Times New Roman"/>
          <w:b/>
          <w:sz w:val="36"/>
          <w:szCs w:val="36"/>
        </w:rPr>
        <w:t>排放报告</w:t>
      </w: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rPr>
          <w:rFonts w:ascii="Times New Roman"/>
          <w:szCs w:val="24"/>
        </w:rPr>
      </w:pPr>
    </w:p>
    <w:p>
      <w:pPr>
        <w:pStyle w:val="26"/>
        <w:ind w:right="1124" w:firstLine="562"/>
        <w:jc w:val="left"/>
        <w:rPr>
          <w:rFonts w:ascii="Times New Roman"/>
          <w:b/>
          <w:sz w:val="28"/>
          <w:szCs w:val="28"/>
        </w:rPr>
      </w:pPr>
      <w:r>
        <w:rPr>
          <w:rFonts w:ascii="Times New Roman"/>
          <w:b/>
          <w:sz w:val="28"/>
          <w:szCs w:val="28"/>
        </w:rPr>
        <w:t>报告主体（盖章）：</w:t>
      </w:r>
    </w:p>
    <w:p>
      <w:pPr>
        <w:pStyle w:val="26"/>
        <w:ind w:right="1124" w:firstLine="419" w:firstLineChars="149"/>
        <w:jc w:val="left"/>
        <w:rPr>
          <w:rFonts w:ascii="Times New Roman"/>
          <w:b/>
          <w:sz w:val="28"/>
          <w:szCs w:val="28"/>
        </w:rPr>
      </w:pPr>
      <w:r>
        <w:rPr>
          <w:rFonts w:ascii="Times New Roman"/>
          <w:b/>
          <w:sz w:val="28"/>
          <w:szCs w:val="28"/>
        </w:rPr>
        <w:t xml:space="preserve"> 报告年度：</w:t>
      </w:r>
    </w:p>
    <w:p>
      <w:pPr>
        <w:pStyle w:val="26"/>
        <w:ind w:firstLine="562"/>
        <w:jc w:val="left"/>
        <w:rPr>
          <w:rFonts w:ascii="Times New Roman"/>
          <w:b/>
          <w:sz w:val="28"/>
          <w:szCs w:val="28"/>
        </w:rPr>
      </w:pPr>
      <w:r>
        <w:rPr>
          <w:rFonts w:ascii="Times New Roman"/>
          <w:b/>
          <w:sz w:val="28"/>
          <w:szCs w:val="28"/>
        </w:rPr>
        <w:t>编制日期：  年   月   日</w:t>
      </w:r>
    </w:p>
    <w:p>
      <w:pPr>
        <w:pStyle w:val="159"/>
        <w:ind w:firstLine="420"/>
        <w:rPr>
          <w:rFonts w:ascii="Times New Roman"/>
        </w:rPr>
      </w:pPr>
    </w:p>
    <w:p>
      <w:pPr>
        <w:pStyle w:val="159"/>
        <w:ind w:firstLine="420"/>
        <w:rPr>
          <w:rFonts w:ascii="Times New Roman"/>
        </w:rPr>
      </w:pPr>
    </w:p>
    <w:p>
      <w:pPr>
        <w:pStyle w:val="26"/>
        <w:ind w:firstLine="562"/>
        <w:rPr>
          <w:rFonts w:ascii="Times New Roman"/>
          <w:b/>
          <w:sz w:val="28"/>
          <w:szCs w:val="28"/>
        </w:rPr>
      </w:pPr>
      <w:r>
        <w:rPr>
          <w:rFonts w:ascii="Times New Roman"/>
          <w:b/>
          <w:color w:val="000000"/>
          <w:sz w:val="28"/>
          <w:szCs w:val="28"/>
        </w:rPr>
        <w:t>本报告主体核算了</w:t>
      </w:r>
      <w:r>
        <w:rPr>
          <w:rFonts w:ascii="Times New Roman"/>
          <w:b/>
          <w:color w:val="000000"/>
          <w:sz w:val="28"/>
          <w:szCs w:val="28"/>
          <w:u w:val="single"/>
        </w:rPr>
        <w:t xml:space="preserve">     </w:t>
      </w:r>
      <w:r>
        <w:rPr>
          <w:rFonts w:ascii="Times New Roman"/>
          <w:b/>
          <w:color w:val="000000"/>
          <w:sz w:val="28"/>
          <w:szCs w:val="28"/>
        </w:rPr>
        <w:t>年度</w:t>
      </w:r>
      <w:r>
        <w:rPr>
          <w:rFonts w:hint="eastAsia" w:ascii="Times New Roman"/>
          <w:b/>
          <w:color w:val="000000"/>
          <w:sz w:val="28"/>
          <w:szCs w:val="28"/>
        </w:rPr>
        <w:t>温室气体</w:t>
      </w:r>
      <w:r>
        <w:rPr>
          <w:rFonts w:ascii="Times New Roman"/>
          <w:b/>
          <w:color w:val="000000"/>
          <w:sz w:val="28"/>
          <w:szCs w:val="28"/>
        </w:rPr>
        <w:t>排放量，并填写了相关数据表格，见表A.1~表A.4。现将有关情况报告如下：</w:t>
      </w:r>
    </w:p>
    <w:p>
      <w:pPr>
        <w:pStyle w:val="26"/>
        <w:ind w:firstLine="560"/>
        <w:rPr>
          <w:rFonts w:ascii="Times New Roman"/>
          <w:sz w:val="28"/>
          <w:szCs w:val="28"/>
        </w:rPr>
      </w:pPr>
      <w:r>
        <w:rPr>
          <w:rFonts w:ascii="Times New Roman"/>
          <w:sz w:val="28"/>
          <w:szCs w:val="28"/>
        </w:rPr>
        <w:t>一、报告主体基本情况</w:t>
      </w:r>
    </w:p>
    <w:p>
      <w:pPr>
        <w:pStyle w:val="26"/>
        <w:ind w:firstLine="560"/>
        <w:rPr>
          <w:rFonts w:ascii="Times New Roman"/>
          <w:sz w:val="28"/>
          <w:szCs w:val="28"/>
        </w:rPr>
      </w:pPr>
    </w:p>
    <w:p>
      <w:pPr>
        <w:pStyle w:val="26"/>
        <w:ind w:firstLine="560"/>
        <w:rPr>
          <w:rFonts w:ascii="Times New Roman"/>
          <w:color w:val="000000"/>
          <w:sz w:val="28"/>
          <w:szCs w:val="28"/>
        </w:rPr>
      </w:pPr>
      <w:r>
        <w:rPr>
          <w:rFonts w:ascii="Times New Roman"/>
          <w:color w:val="000000"/>
          <w:sz w:val="28"/>
          <w:szCs w:val="28"/>
        </w:rPr>
        <w:t>二、</w:t>
      </w:r>
      <w:r>
        <w:rPr>
          <w:rFonts w:hint="eastAsia" w:ascii="Times New Roman"/>
          <w:color w:val="000000"/>
          <w:sz w:val="28"/>
          <w:szCs w:val="28"/>
        </w:rPr>
        <w:t>温室气体</w:t>
      </w:r>
      <w:r>
        <w:rPr>
          <w:rFonts w:ascii="Times New Roman"/>
          <w:color w:val="000000"/>
          <w:sz w:val="28"/>
          <w:szCs w:val="28"/>
        </w:rPr>
        <w:t>排放</w:t>
      </w:r>
    </w:p>
    <w:p>
      <w:pPr>
        <w:pStyle w:val="26"/>
        <w:ind w:firstLine="560"/>
        <w:rPr>
          <w:rFonts w:ascii="Times New Roman"/>
          <w:color w:val="000000"/>
          <w:sz w:val="28"/>
          <w:szCs w:val="28"/>
        </w:rPr>
      </w:pPr>
    </w:p>
    <w:p>
      <w:pPr>
        <w:pStyle w:val="26"/>
        <w:ind w:firstLine="560"/>
        <w:rPr>
          <w:rFonts w:ascii="Times New Roman"/>
          <w:color w:val="000000"/>
          <w:sz w:val="28"/>
          <w:szCs w:val="28"/>
        </w:rPr>
      </w:pPr>
      <w:r>
        <w:rPr>
          <w:rFonts w:ascii="Times New Roman"/>
          <w:color w:val="000000"/>
          <w:sz w:val="28"/>
          <w:szCs w:val="28"/>
        </w:rPr>
        <w:t>三、活动数据及来源说明</w:t>
      </w:r>
    </w:p>
    <w:p>
      <w:pPr>
        <w:pStyle w:val="26"/>
        <w:ind w:firstLine="560"/>
        <w:rPr>
          <w:rFonts w:ascii="Times New Roman"/>
          <w:color w:val="000000"/>
          <w:sz w:val="28"/>
          <w:szCs w:val="28"/>
        </w:rPr>
      </w:pPr>
    </w:p>
    <w:p>
      <w:pPr>
        <w:pStyle w:val="26"/>
        <w:ind w:firstLine="560"/>
        <w:rPr>
          <w:rFonts w:ascii="Times New Roman"/>
          <w:color w:val="000000"/>
          <w:sz w:val="28"/>
          <w:szCs w:val="28"/>
        </w:rPr>
      </w:pPr>
      <w:r>
        <w:rPr>
          <w:rFonts w:ascii="Times New Roman"/>
          <w:color w:val="000000"/>
          <w:sz w:val="28"/>
          <w:szCs w:val="28"/>
        </w:rPr>
        <w:t>四、排放因子数据及来源说明</w:t>
      </w:r>
    </w:p>
    <w:p>
      <w:pPr>
        <w:pStyle w:val="26"/>
        <w:ind w:firstLine="560"/>
        <w:rPr>
          <w:rFonts w:ascii="Times New Roman"/>
          <w:color w:val="000000"/>
          <w:sz w:val="28"/>
          <w:szCs w:val="28"/>
        </w:rPr>
      </w:pPr>
    </w:p>
    <w:p>
      <w:pPr>
        <w:pStyle w:val="26"/>
        <w:ind w:firstLine="560"/>
        <w:rPr>
          <w:rFonts w:ascii="Times New Roman"/>
          <w:color w:val="000000"/>
          <w:sz w:val="28"/>
          <w:szCs w:val="28"/>
        </w:rPr>
      </w:pPr>
      <w:r>
        <w:rPr>
          <w:rFonts w:ascii="Times New Roman"/>
          <w:color w:val="000000"/>
          <w:sz w:val="28"/>
          <w:szCs w:val="28"/>
        </w:rPr>
        <w:t>五、其他需要说明的情况</w:t>
      </w:r>
    </w:p>
    <w:p>
      <w:pPr>
        <w:pStyle w:val="26"/>
        <w:ind w:firstLine="560"/>
        <w:rPr>
          <w:rFonts w:ascii="Times New Roman"/>
          <w:color w:val="000000"/>
          <w:sz w:val="28"/>
          <w:szCs w:val="28"/>
        </w:rPr>
      </w:pPr>
    </w:p>
    <w:p>
      <w:pPr>
        <w:pStyle w:val="26"/>
        <w:ind w:firstLine="560"/>
        <w:rPr>
          <w:rFonts w:ascii="Times New Roman"/>
          <w:sz w:val="28"/>
          <w:szCs w:val="28"/>
        </w:rPr>
      </w:pPr>
      <w:r>
        <w:rPr>
          <w:rFonts w:ascii="Times New Roman"/>
          <w:color w:val="000000"/>
          <w:sz w:val="28"/>
          <w:szCs w:val="28"/>
        </w:rPr>
        <w:t>本企业承诺对本报告的真实性负责。</w:t>
      </w:r>
    </w:p>
    <w:p>
      <w:pPr>
        <w:pStyle w:val="26"/>
        <w:ind w:firstLine="560"/>
        <w:rPr>
          <w:rFonts w:ascii="Times New Roman"/>
          <w:sz w:val="28"/>
          <w:szCs w:val="28"/>
        </w:rPr>
      </w:pPr>
    </w:p>
    <w:p>
      <w:pPr>
        <w:pStyle w:val="26"/>
        <w:ind w:firstLine="560"/>
        <w:jc w:val="right"/>
        <w:rPr>
          <w:rFonts w:ascii="Times New Roman"/>
          <w:sz w:val="28"/>
          <w:szCs w:val="28"/>
        </w:rPr>
      </w:pPr>
    </w:p>
    <w:p>
      <w:pPr>
        <w:pStyle w:val="26"/>
        <w:ind w:firstLine="560"/>
        <w:jc w:val="right"/>
        <w:rPr>
          <w:rFonts w:ascii="Times New Roman"/>
          <w:sz w:val="28"/>
          <w:szCs w:val="28"/>
        </w:rPr>
      </w:pPr>
    </w:p>
    <w:p>
      <w:pPr>
        <w:wordWrap w:val="0"/>
        <w:autoSpaceDE w:val="0"/>
        <w:autoSpaceDN w:val="0"/>
        <w:ind w:firstLine="600"/>
        <w:jc w:val="right"/>
        <w:rPr>
          <w:rFonts w:ascii="Times New Roman" w:hAnsi="Times New Roman"/>
          <w:sz w:val="28"/>
          <w:szCs w:val="28"/>
        </w:rPr>
      </w:pPr>
      <w:r>
        <w:rPr>
          <w:rFonts w:ascii="Times New Roman" w:hAnsi="Times New Roman"/>
          <w:color w:val="000000"/>
          <w:sz w:val="28"/>
          <w:szCs w:val="28"/>
        </w:rPr>
        <w:t xml:space="preserve">法定代表人或授权代表（签字）:          </w:t>
      </w:r>
    </w:p>
    <w:p>
      <w:pPr>
        <w:autoSpaceDE w:val="0"/>
        <w:autoSpaceDN w:val="0"/>
        <w:ind w:firstLine="600"/>
        <w:jc w:val="right"/>
        <w:rPr>
          <w:rFonts w:ascii="Times New Roman" w:hAnsi="Times New Roman"/>
          <w:sz w:val="28"/>
          <w:szCs w:val="28"/>
        </w:rPr>
      </w:pPr>
      <w:r>
        <w:rPr>
          <w:rFonts w:ascii="Times New Roman" w:hAnsi="Times New Roman"/>
          <w:sz w:val="28"/>
          <w:szCs w:val="28"/>
        </w:rPr>
        <w:t>年   月   日</w:t>
      </w:r>
    </w:p>
    <w:p>
      <w:pPr>
        <w:rPr>
          <w:rFonts w:hint="eastAsia" w:hAnsi="Times New Roman" w:cs="Times New Roman"/>
          <w:color w:val="auto"/>
        </w:rPr>
      </w:pPr>
      <w:r>
        <w:rPr>
          <w:rFonts w:hint="eastAsia" w:hAnsi="Times New Roman" w:cs="Times New Roman"/>
          <w:color w:val="auto"/>
        </w:rPr>
        <w:br w:type="page"/>
      </w:r>
    </w:p>
    <w:p>
      <w:pPr>
        <w:pStyle w:val="172"/>
        <w:spacing w:before="156" w:after="156"/>
        <w:jc w:val="center"/>
        <w:rPr>
          <w:rFonts w:ascii="Times New Roman" w:hAnsi="Times New Roman" w:cs="Times New Roman"/>
        </w:rPr>
      </w:pPr>
      <w:r>
        <w:rPr>
          <w:rFonts w:hint="eastAsia" w:ascii="Times New Roman" w:hAnsi="Times New Roman" w:cs="Times New Roman"/>
          <w:lang w:val="en-US" w:eastAsia="zh-CN"/>
        </w:rPr>
        <w:t>报告主体</w:t>
      </w:r>
      <w:r>
        <w:rPr>
          <w:rFonts w:hint="eastAsia" w:ascii="Times New Roman" w:hAnsi="Times New Roman" w:cs="Times New Roman"/>
        </w:rPr>
        <w:t xml:space="preserve">    年度温室气体排放量汇总表</w:t>
      </w:r>
      <w:bookmarkStart w:id="146" w:name="pindex521"/>
      <w:bookmarkEnd w:id="146"/>
    </w:p>
    <w:tbl>
      <w:tblPr>
        <w:tblStyle w:val="38"/>
        <w:tblW w:w="48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0"/>
        <w:gridCol w:w="4476"/>
        <w:gridCol w:w="2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b/>
                <w:bCs/>
                <w:sz w:val="18"/>
                <w:szCs w:val="18"/>
              </w:rPr>
            </w:pPr>
            <w:r>
              <w:rPr>
                <w:rFonts w:hint="eastAsia" w:ascii="Times New Roman" w:hAnsi="Times New Roman"/>
                <w:b/>
                <w:bCs/>
                <w:sz w:val="18"/>
                <w:szCs w:val="18"/>
              </w:rPr>
              <w:t>排放</w:t>
            </w:r>
            <w:r>
              <w:rPr>
                <w:rFonts w:ascii="Times New Roman" w:hAnsi="Times New Roman"/>
                <w:b/>
                <w:bCs/>
                <w:sz w:val="18"/>
                <w:szCs w:val="18"/>
              </w:rPr>
              <w:t>源</w:t>
            </w:r>
            <w:r>
              <w:rPr>
                <w:rFonts w:hint="eastAsia" w:ascii="Times New Roman" w:hAnsi="Times New Roman"/>
                <w:b/>
                <w:bCs/>
                <w:sz w:val="18"/>
                <w:szCs w:val="18"/>
              </w:rPr>
              <w:t>类型</w:t>
            </w:r>
          </w:p>
        </w:tc>
        <w:tc>
          <w:tcPr>
            <w:tcW w:w="1286" w:type="pct"/>
            <w:tcBorders>
              <w:top w:val="single" w:color="auto" w:sz="4" w:space="0"/>
              <w:left w:val="single" w:color="auto" w:sz="4" w:space="0"/>
              <w:right w:val="single" w:color="auto" w:sz="4" w:space="0"/>
            </w:tcBorders>
            <w:vAlign w:val="center"/>
          </w:tcPr>
          <w:p>
            <w:pPr>
              <w:snapToGrid w:val="0"/>
              <w:spacing w:line="240" w:lineRule="auto"/>
              <w:jc w:val="center"/>
              <w:rPr>
                <w:rFonts w:ascii="Times New Roman" w:hAnsi="Times New Roman"/>
                <w:b/>
                <w:bCs/>
                <w:sz w:val="18"/>
                <w:szCs w:val="18"/>
              </w:rPr>
            </w:pPr>
            <w:r>
              <w:rPr>
                <w:rFonts w:ascii="Times New Roman" w:hAnsi="Times New Roman"/>
                <w:b/>
                <w:bCs/>
                <w:sz w:val="18"/>
                <w:szCs w:val="18"/>
              </w:rPr>
              <w:t>排放量（tCO</w:t>
            </w:r>
            <w:r>
              <w:rPr>
                <w:rFonts w:ascii="Times New Roman" w:hAnsi="Times New Roman"/>
                <w:b/>
                <w:bCs/>
                <w:sz w:val="18"/>
                <w:szCs w:val="18"/>
                <w:vertAlign w:val="subscript"/>
              </w:rPr>
              <w:t>2</w:t>
            </w:r>
            <w:r>
              <w:rPr>
                <w:rFonts w:ascii="Times New Roman" w:hAnsi="Times New Roman"/>
                <w:b/>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b/>
                <w:kern w:val="0"/>
                <w:sz w:val="18"/>
                <w:szCs w:val="18"/>
              </w:rPr>
            </w:pPr>
            <w:r>
              <w:rPr>
                <w:rFonts w:ascii="Times New Roman" w:hAnsi="Times New Roman"/>
                <w:sz w:val="18"/>
                <w:szCs w:val="18"/>
              </w:rPr>
              <w:t>化石燃料燃烧排放</w:t>
            </w:r>
          </w:p>
        </w:tc>
        <w:tc>
          <w:tcPr>
            <w:tcW w:w="1286" w:type="pct"/>
            <w:tcBorders>
              <w:left w:val="single" w:color="auto" w:sz="4" w:space="0"/>
              <w:right w:val="single" w:color="auto" w:sz="4" w:space="0"/>
            </w:tcBorders>
            <w:vAlign w:val="center"/>
          </w:tcPr>
          <w:p>
            <w:pPr>
              <w:snapToGrid w:val="0"/>
              <w:spacing w:line="240" w:lineRule="auto"/>
              <w:jc w:val="center"/>
              <w:rPr>
                <w:rFonts w:ascii="Times New Roman" w:hAnsi="Times New Roman"/>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过程排放</w:t>
            </w:r>
          </w:p>
        </w:tc>
        <w:tc>
          <w:tcPr>
            <w:tcW w:w="1286" w:type="pct"/>
            <w:tcBorders>
              <w:left w:val="single" w:color="auto" w:sz="4" w:space="0"/>
              <w:right w:val="single" w:color="auto" w:sz="4" w:space="0"/>
            </w:tcBorders>
            <w:vAlign w:val="center"/>
          </w:tcPr>
          <w:p>
            <w:pPr>
              <w:snapToGrid w:val="0"/>
              <w:spacing w:line="240" w:lineRule="auto"/>
              <w:jc w:val="center"/>
              <w:rPr>
                <w:rFonts w:ascii="Times New Roman" w:hAnsi="Times New Roman"/>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rPr>
            </w:pPr>
            <w:r>
              <w:rPr>
                <w:rFonts w:hint="eastAsia" w:ascii="Times New Roman" w:hAnsi="Times New Roman"/>
                <w:sz w:val="18"/>
                <w:szCs w:val="18"/>
                <w:lang w:val="en-US" w:eastAsia="zh-CN"/>
              </w:rPr>
              <w:t>净</w:t>
            </w:r>
            <w:r>
              <w:rPr>
                <w:rFonts w:ascii="Times New Roman" w:hAnsi="Times New Roman"/>
                <w:sz w:val="18"/>
                <w:szCs w:val="18"/>
              </w:rPr>
              <w:t>购入</w:t>
            </w:r>
            <w:r>
              <w:rPr>
                <w:rFonts w:hint="eastAsia" w:ascii="Times New Roman" w:hAnsi="Times New Roman"/>
                <w:sz w:val="18"/>
                <w:szCs w:val="18"/>
                <w:lang w:val="en-US" w:eastAsia="zh-CN"/>
              </w:rPr>
              <w:t>使用</w:t>
            </w:r>
            <w:r>
              <w:rPr>
                <w:rFonts w:ascii="Times New Roman" w:hAnsi="Times New Roman"/>
                <w:sz w:val="18"/>
                <w:szCs w:val="18"/>
              </w:rPr>
              <w:t>电力产生的排放</w:t>
            </w:r>
          </w:p>
        </w:tc>
        <w:tc>
          <w:tcPr>
            <w:tcW w:w="1286" w:type="pct"/>
            <w:tcBorders>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rPr>
            </w:pPr>
            <w:r>
              <w:rPr>
                <w:rFonts w:hint="eastAsia" w:ascii="Times New Roman" w:hAnsi="Times New Roman"/>
                <w:sz w:val="18"/>
                <w:szCs w:val="18"/>
                <w:lang w:val="en-US" w:eastAsia="zh-CN"/>
              </w:rPr>
              <w:t>净</w:t>
            </w:r>
            <w:r>
              <w:rPr>
                <w:rFonts w:ascii="Times New Roman" w:hAnsi="Times New Roman"/>
                <w:sz w:val="18"/>
                <w:szCs w:val="18"/>
              </w:rPr>
              <w:t>购入</w:t>
            </w:r>
            <w:r>
              <w:rPr>
                <w:rFonts w:hint="eastAsia" w:ascii="Times New Roman" w:hAnsi="Times New Roman"/>
                <w:sz w:val="18"/>
                <w:szCs w:val="18"/>
                <w:lang w:val="en-US" w:eastAsia="zh-CN"/>
              </w:rPr>
              <w:t>使用</w:t>
            </w:r>
            <w:r>
              <w:rPr>
                <w:rFonts w:ascii="Times New Roman" w:hAnsi="Times New Roman"/>
                <w:sz w:val="18"/>
                <w:szCs w:val="18"/>
              </w:rPr>
              <w:t>热力产生的排放</w:t>
            </w:r>
          </w:p>
        </w:tc>
        <w:tc>
          <w:tcPr>
            <w:tcW w:w="1286" w:type="pct"/>
            <w:tcBorders>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381" w:type="pct"/>
            <w:vMerge w:val="restart"/>
            <w:tcBorders>
              <w:top w:val="single" w:color="auto" w:sz="4" w:space="0"/>
              <w:left w:val="single" w:color="auto" w:sz="4" w:space="0"/>
              <w:right w:val="single" w:color="auto" w:sz="4" w:space="0"/>
            </w:tcBorders>
            <w:vAlign w:val="center"/>
          </w:tcPr>
          <w:p>
            <w:pPr>
              <w:snapToGrid w:val="0"/>
              <w:spacing w:line="240" w:lineRule="auto"/>
              <w:jc w:val="center"/>
              <w:rPr>
                <w:rFonts w:ascii="Times New Roman" w:hAnsi="Times New Roman"/>
                <w:b/>
                <w:sz w:val="18"/>
                <w:szCs w:val="18"/>
              </w:rPr>
            </w:pPr>
            <w:r>
              <w:rPr>
                <w:rFonts w:ascii="Times New Roman" w:hAnsi="Times New Roman"/>
                <w:b/>
                <w:sz w:val="18"/>
                <w:szCs w:val="18"/>
              </w:rPr>
              <w:t>报告主体</w:t>
            </w:r>
            <w:r>
              <w:rPr>
                <w:rFonts w:hint="eastAsia" w:ascii="Times New Roman" w:hAnsi="Times New Roman"/>
                <w:b/>
                <w:sz w:val="18"/>
                <w:szCs w:val="18"/>
              </w:rPr>
              <w:t>温室气体</w:t>
            </w:r>
            <w:r>
              <w:rPr>
                <w:rFonts w:ascii="Times New Roman" w:hAnsi="Times New Roman"/>
                <w:b/>
                <w:sz w:val="18"/>
                <w:szCs w:val="18"/>
              </w:rPr>
              <w:t>排放总量</w:t>
            </w:r>
          </w:p>
        </w:tc>
        <w:tc>
          <w:tcPr>
            <w:tcW w:w="2332" w:type="pct"/>
            <w:tcBorders>
              <w:top w:val="single" w:color="auto" w:sz="4" w:space="0"/>
              <w:left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不包括</w:t>
            </w:r>
            <w:r>
              <w:rPr>
                <w:rFonts w:hint="eastAsia" w:ascii="Times New Roman" w:hAnsi="Times New Roman"/>
                <w:sz w:val="18"/>
                <w:szCs w:val="18"/>
                <w:lang w:val="en-US" w:eastAsia="zh-CN"/>
              </w:rPr>
              <w:t>净购入使用</w:t>
            </w:r>
            <w:r>
              <w:rPr>
                <w:rFonts w:ascii="Times New Roman" w:hAnsi="Times New Roman"/>
                <w:sz w:val="18"/>
                <w:szCs w:val="18"/>
              </w:rPr>
              <w:t>电力和热力</w:t>
            </w:r>
            <w:r>
              <w:rPr>
                <w:rFonts w:ascii="Times New Roman" w:hAnsi="Times New Roman"/>
                <w:color w:val="000000"/>
                <w:kern w:val="0"/>
                <w:sz w:val="18"/>
                <w:szCs w:val="18"/>
              </w:rPr>
              <w:t>产生</w:t>
            </w:r>
            <w:r>
              <w:rPr>
                <w:rFonts w:ascii="Times New Roman" w:hAnsi="Times New Roman"/>
                <w:sz w:val="18"/>
                <w:szCs w:val="18"/>
              </w:rPr>
              <w:t>的排放</w:t>
            </w:r>
          </w:p>
        </w:tc>
        <w:tc>
          <w:tcPr>
            <w:tcW w:w="1286" w:type="pct"/>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381" w:type="pct"/>
            <w:vMerge w:val="continue"/>
            <w:tcBorders>
              <w:left w:val="single" w:color="auto" w:sz="4" w:space="0"/>
              <w:right w:val="single" w:color="auto" w:sz="4" w:space="0"/>
            </w:tcBorders>
            <w:vAlign w:val="center"/>
          </w:tcPr>
          <w:p>
            <w:pPr>
              <w:snapToGrid w:val="0"/>
              <w:spacing w:line="240" w:lineRule="auto"/>
              <w:jc w:val="center"/>
              <w:rPr>
                <w:rFonts w:ascii="Times New Roman" w:hAnsi="Times New Roman"/>
                <w:sz w:val="18"/>
                <w:szCs w:val="18"/>
              </w:rPr>
            </w:pPr>
          </w:p>
        </w:tc>
        <w:tc>
          <w:tcPr>
            <w:tcW w:w="2332" w:type="pct"/>
            <w:tcBorders>
              <w:left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包括</w:t>
            </w:r>
            <w:r>
              <w:rPr>
                <w:rFonts w:hint="eastAsia" w:ascii="Times New Roman" w:hAnsi="Times New Roman"/>
                <w:sz w:val="18"/>
                <w:szCs w:val="18"/>
                <w:lang w:val="en-US" w:eastAsia="zh-CN"/>
              </w:rPr>
              <w:t>净</w:t>
            </w:r>
            <w:r>
              <w:rPr>
                <w:rFonts w:ascii="Times New Roman" w:hAnsi="Times New Roman"/>
                <w:sz w:val="18"/>
                <w:szCs w:val="18"/>
              </w:rPr>
              <w:t>购入</w:t>
            </w:r>
            <w:r>
              <w:rPr>
                <w:rFonts w:hint="eastAsia" w:ascii="Times New Roman" w:hAnsi="Times New Roman"/>
                <w:sz w:val="18"/>
                <w:szCs w:val="18"/>
                <w:lang w:val="en-US" w:eastAsia="zh-CN"/>
              </w:rPr>
              <w:t>使用</w:t>
            </w:r>
            <w:r>
              <w:rPr>
                <w:rFonts w:ascii="Times New Roman" w:hAnsi="Times New Roman"/>
                <w:sz w:val="18"/>
                <w:szCs w:val="18"/>
              </w:rPr>
              <w:t>电力和热力</w:t>
            </w:r>
            <w:r>
              <w:rPr>
                <w:rFonts w:ascii="Times New Roman" w:hAnsi="Times New Roman"/>
                <w:color w:val="000000"/>
                <w:kern w:val="0"/>
                <w:sz w:val="18"/>
                <w:szCs w:val="18"/>
              </w:rPr>
              <w:t>产生</w:t>
            </w:r>
            <w:r>
              <w:rPr>
                <w:rFonts w:ascii="Times New Roman" w:hAnsi="Times New Roman"/>
                <w:sz w:val="18"/>
                <w:szCs w:val="18"/>
              </w:rPr>
              <w:t>的排放</w:t>
            </w:r>
          </w:p>
        </w:tc>
        <w:tc>
          <w:tcPr>
            <w:tcW w:w="1286" w:type="pct"/>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rPr>
            </w:pPr>
          </w:p>
        </w:tc>
      </w:tr>
    </w:tbl>
    <w:p>
      <w:pPr>
        <w:pStyle w:val="172"/>
        <w:spacing w:before="156" w:after="156"/>
        <w:rPr>
          <w:rFonts w:ascii="Times New Roman"/>
        </w:rPr>
      </w:pPr>
      <w:r>
        <w:rPr>
          <w:rFonts w:ascii="Times New Roman"/>
        </w:rPr>
        <w:t>化石燃料燃烧的活动数据和排放因子数据一览表</w:t>
      </w:r>
    </w:p>
    <w:tbl>
      <w:tblPr>
        <w:tblStyle w:val="38"/>
        <w:tblW w:w="9360" w:type="dxa"/>
        <w:jc w:val="center"/>
        <w:tblLayout w:type="fixed"/>
        <w:tblCellMar>
          <w:top w:w="0" w:type="dxa"/>
          <w:left w:w="108" w:type="dxa"/>
          <w:bottom w:w="0" w:type="dxa"/>
          <w:right w:w="108" w:type="dxa"/>
        </w:tblCellMar>
      </w:tblPr>
      <w:tblGrid>
        <w:gridCol w:w="1413"/>
        <w:gridCol w:w="1276"/>
        <w:gridCol w:w="992"/>
        <w:gridCol w:w="1701"/>
        <w:gridCol w:w="1276"/>
        <w:gridCol w:w="1001"/>
        <w:gridCol w:w="1701"/>
      </w:tblGrid>
      <w:tr>
        <w:tblPrEx>
          <w:tblCellMar>
            <w:top w:w="0" w:type="dxa"/>
            <w:left w:w="108" w:type="dxa"/>
            <w:bottom w:w="0" w:type="dxa"/>
            <w:right w:w="108" w:type="dxa"/>
          </w:tblCellMar>
        </w:tblPrEx>
        <w:trPr>
          <w:trHeight w:val="283" w:hRule="atLeast"/>
          <w:jc w:val="center"/>
        </w:trPr>
        <w:tc>
          <w:tcPr>
            <w:tcW w:w="1413" w:type="dxa"/>
            <w:vMerge w:val="restart"/>
            <w:tcBorders>
              <w:top w:val="single" w:color="auto" w:sz="4" w:space="0"/>
              <w:left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燃料品种</w:t>
            </w:r>
          </w:p>
        </w:tc>
        <w:tc>
          <w:tcPr>
            <w:tcW w:w="1276" w:type="dxa"/>
            <w:vMerge w:val="restart"/>
            <w:tcBorders>
              <w:top w:val="single" w:color="auto" w:sz="4" w:space="0"/>
              <w:left w:val="nil"/>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消费量</w:t>
            </w:r>
          </w:p>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b/>
                <w:color w:val="000000"/>
                <w:kern w:val="0"/>
                <w:sz w:val="18"/>
                <w:szCs w:val="18"/>
              </w:rPr>
              <w:t>（t或10</w:t>
            </w:r>
            <w:r>
              <w:rPr>
                <w:rFonts w:ascii="Times New Roman" w:hAnsi="Times New Roman"/>
                <w:b/>
                <w:color w:val="000000"/>
                <w:kern w:val="0"/>
                <w:sz w:val="18"/>
                <w:szCs w:val="18"/>
                <w:vertAlign w:val="superscript"/>
              </w:rPr>
              <w:t>4</w:t>
            </w:r>
            <w:r>
              <w:rPr>
                <w:rFonts w:ascii="Times New Roman" w:hAnsi="Times New Roman"/>
                <w:b/>
                <w:color w:val="000000"/>
                <w:kern w:val="0"/>
                <w:sz w:val="18"/>
                <w:szCs w:val="18"/>
              </w:rPr>
              <w:t>m</w:t>
            </w:r>
            <w:r>
              <w:rPr>
                <w:rFonts w:ascii="Times New Roman" w:hAnsi="Times New Roman"/>
                <w:b/>
                <w:color w:val="000000"/>
                <w:kern w:val="0"/>
                <w:sz w:val="18"/>
                <w:szCs w:val="18"/>
                <w:vertAlign w:val="superscript"/>
              </w:rPr>
              <w:t>3</w:t>
            </w:r>
            <w:r>
              <w:rPr>
                <w:rFonts w:ascii="Times New Roman" w:hAnsi="Times New Roman"/>
                <w:b/>
                <w:color w:val="000000"/>
                <w:kern w:val="0"/>
                <w:sz w:val="18"/>
                <w:szCs w:val="18"/>
              </w:rPr>
              <w:t>）</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vertAlign w:val="superscript"/>
              </w:rPr>
            </w:pPr>
            <w:r>
              <w:rPr>
                <w:rFonts w:ascii="Times New Roman" w:hAnsi="Times New Roman"/>
                <w:b/>
                <w:color w:val="000000"/>
                <w:kern w:val="0"/>
                <w:sz w:val="18"/>
                <w:szCs w:val="18"/>
              </w:rPr>
              <w:t>低位发热量</w:t>
            </w:r>
          </w:p>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b/>
                <w:color w:val="000000"/>
                <w:kern w:val="0"/>
                <w:sz w:val="18"/>
                <w:szCs w:val="18"/>
              </w:rPr>
              <w:t>（GJ/t或GJ/10</w:t>
            </w:r>
            <w:r>
              <w:rPr>
                <w:rFonts w:ascii="Times New Roman" w:hAnsi="Times New Roman"/>
                <w:b/>
                <w:color w:val="000000"/>
                <w:kern w:val="0"/>
                <w:sz w:val="18"/>
                <w:szCs w:val="18"/>
                <w:vertAlign w:val="superscript"/>
              </w:rPr>
              <w:t>4</w:t>
            </w:r>
            <w:r>
              <w:rPr>
                <w:rFonts w:ascii="Times New Roman" w:hAnsi="Times New Roman"/>
                <w:b/>
                <w:color w:val="000000"/>
                <w:kern w:val="0"/>
                <w:sz w:val="18"/>
                <w:szCs w:val="18"/>
              </w:rPr>
              <w:t>m</w:t>
            </w:r>
            <w:r>
              <w:rPr>
                <w:rFonts w:ascii="Times New Roman" w:hAnsi="Times New Roman"/>
                <w:b/>
                <w:color w:val="000000"/>
                <w:kern w:val="0"/>
                <w:sz w:val="18"/>
                <w:szCs w:val="18"/>
                <w:vertAlign w:val="superscript"/>
              </w:rPr>
              <w:t>3</w:t>
            </w:r>
            <w:r>
              <w:rPr>
                <w:rFonts w:ascii="Times New Roman" w:hAnsi="Times New Roman"/>
                <w:b/>
                <w:color w:val="000000"/>
                <w:kern w:val="0"/>
                <w:sz w:val="18"/>
                <w:szCs w:val="18"/>
              </w:rPr>
              <w:t>）</w:t>
            </w:r>
          </w:p>
        </w:tc>
        <w:tc>
          <w:tcPr>
            <w:tcW w:w="1276" w:type="dxa"/>
            <w:vMerge w:val="restart"/>
            <w:tcBorders>
              <w:top w:val="single" w:color="auto" w:sz="4" w:space="0"/>
              <w:left w:val="nil"/>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单位热值含碳量</w:t>
            </w:r>
          </w:p>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b/>
                <w:color w:val="000000"/>
                <w:kern w:val="0"/>
                <w:sz w:val="18"/>
                <w:szCs w:val="18"/>
              </w:rPr>
              <w:t>（tC/GJ）</w:t>
            </w:r>
          </w:p>
        </w:tc>
        <w:tc>
          <w:tcPr>
            <w:tcW w:w="2702"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b/>
                <w:color w:val="000000"/>
                <w:kern w:val="0"/>
                <w:sz w:val="18"/>
                <w:szCs w:val="18"/>
              </w:rPr>
              <w:t>碳氧化率（%）</w:t>
            </w:r>
          </w:p>
        </w:tc>
      </w:tr>
      <w:tr>
        <w:tblPrEx>
          <w:tblCellMar>
            <w:top w:w="0" w:type="dxa"/>
            <w:left w:w="108" w:type="dxa"/>
            <w:bottom w:w="0" w:type="dxa"/>
            <w:right w:w="108" w:type="dxa"/>
          </w:tblCellMar>
        </w:tblPrEx>
        <w:trPr>
          <w:trHeight w:val="283" w:hRule="atLeast"/>
          <w:jc w:val="center"/>
        </w:trPr>
        <w:tc>
          <w:tcPr>
            <w:tcW w:w="1413" w:type="dxa"/>
            <w:vMerge w:val="continue"/>
            <w:tcBorders>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276" w:type="dxa"/>
            <w:vMerge w:val="continue"/>
            <w:tcBorders>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b/>
                <w:color w:val="000000"/>
                <w:kern w:val="0"/>
                <w:sz w:val="18"/>
                <w:szCs w:val="18"/>
              </w:rPr>
              <w:t>数据</w:t>
            </w: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b/>
                <w:color w:val="000000"/>
                <w:kern w:val="0"/>
                <w:sz w:val="18"/>
                <w:szCs w:val="18"/>
              </w:rPr>
              <w:t>数据来源</w:t>
            </w:r>
          </w:p>
        </w:tc>
        <w:tc>
          <w:tcPr>
            <w:tcW w:w="1276" w:type="dxa"/>
            <w:vMerge w:val="continue"/>
            <w:tcBorders>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数据</w:t>
            </w: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b/>
                <w:color w:val="000000"/>
                <w:kern w:val="0"/>
                <w:sz w:val="18"/>
                <w:szCs w:val="18"/>
              </w:rPr>
              <w:t>数据来源</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无烟煤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烟煤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褐煤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kern w:val="0"/>
                <w:sz w:val="18"/>
                <w:szCs w:val="18"/>
              </w:rPr>
              <w:t>洗精煤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kern w:val="0"/>
                <w:sz w:val="18"/>
                <w:szCs w:val="18"/>
              </w:rPr>
              <w:t>其它洗煤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kern w:val="0"/>
                <w:sz w:val="18"/>
                <w:szCs w:val="18"/>
              </w:rPr>
              <w:t>型煤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kern w:val="0"/>
                <w:sz w:val="18"/>
                <w:szCs w:val="18"/>
              </w:rPr>
              <w:t>其他煤制品</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焦炭</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color w:val="000000"/>
                <w:kern w:val="0"/>
                <w:sz w:val="18"/>
                <w:szCs w:val="18"/>
              </w:rPr>
              <w:t>原油</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kern w:val="0"/>
                <w:sz w:val="18"/>
                <w:szCs w:val="18"/>
              </w:rPr>
              <w:t>燃料油</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kern w:val="0"/>
                <w:sz w:val="18"/>
                <w:szCs w:val="18"/>
              </w:rPr>
              <w:t>汽油</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kern w:val="0"/>
                <w:sz w:val="18"/>
                <w:szCs w:val="18"/>
              </w:rPr>
              <w:t>柴油</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kern w:val="0"/>
                <w:sz w:val="18"/>
                <w:szCs w:val="18"/>
              </w:rPr>
              <w:t>一般煤油</w:t>
            </w:r>
          </w:p>
        </w:tc>
        <w:tc>
          <w:tcPr>
            <w:tcW w:w="1276" w:type="dxa"/>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color w:val="000000"/>
                <w:kern w:val="0"/>
                <w:sz w:val="18"/>
                <w:szCs w:val="18"/>
              </w:rPr>
              <w:t>液化天然气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color w:val="000000"/>
                <w:kern w:val="0"/>
                <w:sz w:val="18"/>
                <w:szCs w:val="18"/>
              </w:rPr>
              <w:t>液化石油气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kern w:val="0"/>
                <w:sz w:val="18"/>
                <w:szCs w:val="18"/>
              </w:rPr>
              <w:t>石脑油</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kern w:val="0"/>
                <w:sz w:val="18"/>
                <w:szCs w:val="18"/>
              </w:rPr>
              <w:t>焦油</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kern w:val="0"/>
                <w:sz w:val="18"/>
                <w:szCs w:val="18"/>
              </w:rPr>
              <w:t>粗苯</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color w:val="000000"/>
                <w:kern w:val="0"/>
                <w:sz w:val="18"/>
                <w:szCs w:val="18"/>
              </w:rPr>
              <w:t>其它石油制品</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天然气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高炉煤气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kern w:val="0"/>
                <w:sz w:val="18"/>
                <w:szCs w:val="18"/>
              </w:rPr>
              <w:t>转炉煤气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焦炉煤气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炼厂干气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其它煤气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sz w:val="18"/>
                <w:szCs w:val="18"/>
              </w:rPr>
              <w:t>乙炔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sz w:val="18"/>
                <w:szCs w:val="18"/>
              </w:rPr>
              <w:t>丙烷</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其它能源品种</w:t>
            </w:r>
            <w:r>
              <w:rPr>
                <w:rFonts w:ascii="Times New Roman" w:hAnsi="Times New Roman"/>
                <w:color w:val="000000"/>
                <w:kern w:val="0"/>
                <w:sz w:val="18"/>
                <w:szCs w:val="18"/>
                <w:vertAlign w:val="superscript"/>
              </w:rPr>
              <w:t>a</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9360" w:type="dxa"/>
            <w:gridSpan w:val="7"/>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rPr>
                <w:rFonts w:ascii="Times New Roman" w:hAnsi="Times New Roman"/>
                <w:color w:val="000000"/>
                <w:kern w:val="0"/>
                <w:sz w:val="18"/>
                <w:szCs w:val="18"/>
              </w:rPr>
            </w:pPr>
            <w:r>
              <w:rPr>
                <w:rFonts w:ascii="Times New Roman" w:hAnsi="Times New Roman"/>
                <w:kern w:val="0"/>
                <w:vertAlign w:val="superscript"/>
              </w:rPr>
              <w:t>a</w:t>
            </w:r>
            <w:r>
              <w:rPr>
                <w:rFonts w:ascii="Times New Roman" w:hAnsi="Times New Roman"/>
                <w:color w:val="000000"/>
                <w:kern w:val="0"/>
                <w:sz w:val="18"/>
                <w:szCs w:val="18"/>
              </w:rPr>
              <w:t>若</w:t>
            </w:r>
            <w:r>
              <w:rPr>
                <w:rFonts w:hint="eastAsia" w:ascii="Times New Roman" w:hAnsi="Times New Roman"/>
                <w:color w:val="000000"/>
                <w:kern w:val="0"/>
                <w:sz w:val="18"/>
                <w:szCs w:val="18"/>
              </w:rPr>
              <w:t>其它能源品种的活动数据和排放因子数据</w:t>
            </w:r>
            <w:r>
              <w:rPr>
                <w:rFonts w:ascii="Times New Roman" w:hAnsi="Times New Roman"/>
                <w:color w:val="000000"/>
                <w:kern w:val="0"/>
                <w:sz w:val="18"/>
                <w:szCs w:val="18"/>
              </w:rPr>
              <w:t>存在一个以上不同来源，请自行分行一一列明。</w:t>
            </w:r>
          </w:p>
        </w:tc>
      </w:tr>
    </w:tbl>
    <w:p>
      <w:pPr>
        <w:pStyle w:val="140"/>
        <w:numPr>
          <w:ilvl w:val="0"/>
          <w:numId w:val="0"/>
        </w:numPr>
        <w:rPr>
          <w:rFonts w:hint="eastAsia"/>
          <w:color w:val="auto"/>
        </w:rPr>
      </w:pPr>
    </w:p>
    <w:p>
      <w:pPr>
        <w:rPr>
          <w:rFonts w:hint="eastAsia"/>
          <w:color w:val="auto"/>
        </w:rPr>
      </w:pPr>
      <w:r>
        <w:rPr>
          <w:rFonts w:hint="eastAsia"/>
          <w:color w:val="auto"/>
        </w:rPr>
        <w:br w:type="page"/>
      </w:r>
    </w:p>
    <w:tbl>
      <w:tblPr>
        <w:tblStyle w:val="38"/>
        <w:tblpPr w:leftFromText="180" w:rightFromText="180" w:vertAnchor="text" w:horzAnchor="page" w:tblpXSpec="center" w:tblpY="460"/>
        <w:tblOverlap w:val="never"/>
        <w:tblW w:w="9360" w:type="dxa"/>
        <w:jc w:val="center"/>
        <w:tblLayout w:type="fixed"/>
        <w:tblCellMar>
          <w:top w:w="0" w:type="dxa"/>
          <w:left w:w="108" w:type="dxa"/>
          <w:bottom w:w="0" w:type="dxa"/>
          <w:right w:w="108" w:type="dxa"/>
        </w:tblCellMar>
      </w:tblPr>
      <w:tblGrid>
        <w:gridCol w:w="1347"/>
        <w:gridCol w:w="2276"/>
        <w:gridCol w:w="783"/>
        <w:gridCol w:w="1760"/>
        <w:gridCol w:w="215"/>
        <w:gridCol w:w="1421"/>
        <w:gridCol w:w="1558"/>
      </w:tblGrid>
      <w:tr>
        <w:tblPrEx>
          <w:tblCellMar>
            <w:top w:w="0" w:type="dxa"/>
            <w:left w:w="108" w:type="dxa"/>
            <w:bottom w:w="0" w:type="dxa"/>
            <w:right w:w="108" w:type="dxa"/>
          </w:tblCellMar>
        </w:tblPrEx>
        <w:trPr>
          <w:trHeight w:val="376" w:hRule="atLeast"/>
          <w:jc w:val="center"/>
        </w:trPr>
        <w:tc>
          <w:tcPr>
            <w:tcW w:w="9360" w:type="dxa"/>
            <w:gridSpan w:val="7"/>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left"/>
              <w:rPr>
                <w:rFonts w:hint="default"/>
                <w:b/>
                <w:bCs/>
                <w:kern w:val="0"/>
                <w:sz w:val="18"/>
                <w:szCs w:val="18"/>
                <w:vertAlign w:val="baseline"/>
                <w:lang w:val="en-US" w:eastAsia="zh-CN"/>
              </w:rPr>
            </w:pPr>
            <w:r>
              <w:rPr>
                <w:rFonts w:hint="eastAsia"/>
                <w:b/>
                <w:bCs/>
                <w:kern w:val="0"/>
                <w:sz w:val="18"/>
                <w:szCs w:val="18"/>
                <w:vertAlign w:val="baseline"/>
                <w:lang w:val="en-US" w:eastAsia="zh-CN"/>
              </w:rPr>
              <w:t>1.碳酸盐分解排放</w:t>
            </w:r>
          </w:p>
        </w:tc>
      </w:tr>
      <w:tr>
        <w:tblPrEx>
          <w:tblCellMar>
            <w:top w:w="0" w:type="dxa"/>
            <w:left w:w="108" w:type="dxa"/>
            <w:bottom w:w="0" w:type="dxa"/>
            <w:right w:w="108" w:type="dxa"/>
          </w:tblCellMar>
        </w:tblPrEx>
        <w:trPr>
          <w:trHeight w:val="1042" w:hRule="atLeast"/>
          <w:jc w:val="center"/>
        </w:trPr>
        <w:tc>
          <w:tcPr>
            <w:tcW w:w="1347"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default"/>
                <w:b/>
                <w:bCs/>
                <w:kern w:val="0"/>
                <w:sz w:val="18"/>
                <w:szCs w:val="18"/>
                <w:vertAlign w:val="baseline"/>
                <w:lang w:val="en-US" w:eastAsia="zh-CN"/>
              </w:rPr>
            </w:pPr>
            <w:r>
              <w:rPr>
                <w:rFonts w:hint="eastAsia"/>
                <w:b/>
                <w:bCs/>
                <w:kern w:val="0"/>
                <w:sz w:val="18"/>
                <w:szCs w:val="18"/>
                <w:vertAlign w:val="baseline"/>
                <w:lang w:val="en-US" w:eastAsia="zh-CN"/>
              </w:rPr>
              <w:t>原材料种类</w:t>
            </w:r>
            <w:r>
              <w:rPr>
                <w:rFonts w:hint="eastAsia"/>
                <w:b/>
                <w:bCs/>
                <w:kern w:val="0"/>
                <w:sz w:val="18"/>
                <w:szCs w:val="18"/>
                <w:vertAlign w:val="superscript"/>
                <w:lang w:val="en-US" w:eastAsia="zh-CN"/>
              </w:rPr>
              <w:t>a</w:t>
            </w:r>
          </w:p>
        </w:tc>
        <w:tc>
          <w:tcPr>
            <w:tcW w:w="2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r>
              <w:rPr>
                <w:rFonts w:hint="eastAsia"/>
                <w:b/>
                <w:bCs/>
                <w:kern w:val="0"/>
                <w:sz w:val="18"/>
                <w:szCs w:val="18"/>
                <w:vertAlign w:val="baseline"/>
                <w:lang w:val="en-US" w:eastAsia="zh-CN"/>
              </w:rPr>
              <w:t>消耗量</w:t>
            </w:r>
          </w:p>
          <w:p>
            <w:pPr>
              <w:widowControl/>
              <w:tabs>
                <w:tab w:val="center" w:pos="4201"/>
                <w:tab w:val="right" w:leader="dot" w:pos="9298"/>
              </w:tabs>
              <w:autoSpaceDE w:val="0"/>
              <w:autoSpaceDN w:val="0"/>
              <w:jc w:val="center"/>
              <w:rPr>
                <w:rFonts w:hint="default"/>
                <w:b/>
                <w:bCs/>
                <w:kern w:val="0"/>
                <w:sz w:val="18"/>
                <w:szCs w:val="18"/>
                <w:vertAlign w:val="baseline"/>
                <w:lang w:val="en-US" w:eastAsia="zh-CN"/>
              </w:rPr>
            </w:pPr>
            <w:r>
              <w:rPr>
                <w:rFonts w:hint="eastAsia"/>
                <w:b/>
                <w:bCs/>
                <w:kern w:val="0"/>
                <w:sz w:val="18"/>
                <w:szCs w:val="18"/>
                <w:vertAlign w:val="baseline"/>
                <w:lang w:val="en-US" w:eastAsia="zh-CN"/>
              </w:rPr>
              <w:t>t</w:t>
            </w:r>
          </w:p>
        </w:tc>
        <w:tc>
          <w:tcPr>
            <w:tcW w:w="78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default"/>
                <w:b/>
                <w:bCs/>
                <w:kern w:val="0"/>
                <w:sz w:val="18"/>
                <w:szCs w:val="18"/>
                <w:vertAlign w:val="baseline"/>
                <w:lang w:val="en-US" w:eastAsia="zh-CN"/>
              </w:rPr>
            </w:pPr>
            <w:r>
              <w:rPr>
                <w:rFonts w:hint="eastAsia"/>
                <w:b/>
                <w:bCs/>
                <w:kern w:val="0"/>
                <w:sz w:val="18"/>
                <w:szCs w:val="18"/>
                <w:vertAlign w:val="baseline"/>
                <w:lang w:val="en-US" w:eastAsia="zh-CN"/>
              </w:rPr>
              <w:t>碳酸盐种类</w:t>
            </w:r>
          </w:p>
        </w:tc>
        <w:tc>
          <w:tcPr>
            <w:tcW w:w="1760"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r>
              <w:rPr>
                <w:rFonts w:hint="eastAsia"/>
                <w:b/>
                <w:bCs/>
                <w:kern w:val="0"/>
                <w:sz w:val="18"/>
                <w:szCs w:val="18"/>
                <w:vertAlign w:val="baseline"/>
                <w:lang w:val="en-US" w:eastAsia="zh-CN"/>
              </w:rPr>
              <w:t>百分含量</w:t>
            </w:r>
          </w:p>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r>
              <w:rPr>
                <w:rFonts w:hint="eastAsia"/>
                <w:b/>
                <w:bCs/>
                <w:kern w:val="0"/>
                <w:sz w:val="18"/>
                <w:szCs w:val="18"/>
                <w:vertAlign w:val="baseline"/>
                <w:lang w:val="en-US" w:eastAsia="zh-CN"/>
              </w:rPr>
              <w:t>%</w:t>
            </w:r>
          </w:p>
        </w:tc>
        <w:tc>
          <w:tcPr>
            <w:tcW w:w="1636"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r>
              <w:rPr>
                <w:rFonts w:hint="eastAsia"/>
                <w:b/>
                <w:bCs/>
                <w:kern w:val="0"/>
                <w:sz w:val="18"/>
                <w:szCs w:val="18"/>
                <w:vertAlign w:val="baseline"/>
                <w:lang w:val="en-US" w:eastAsia="zh-CN"/>
              </w:rPr>
              <w:t>碳酸盐的碳排放因子</w:t>
            </w:r>
          </w:p>
          <w:p>
            <w:pPr>
              <w:widowControl/>
              <w:tabs>
                <w:tab w:val="center" w:pos="4201"/>
                <w:tab w:val="right" w:leader="dot" w:pos="9298"/>
              </w:tabs>
              <w:autoSpaceDE w:val="0"/>
              <w:autoSpaceDN w:val="0"/>
              <w:jc w:val="center"/>
              <w:rPr>
                <w:rFonts w:hint="default"/>
                <w:b/>
                <w:bCs/>
                <w:kern w:val="0"/>
                <w:sz w:val="18"/>
                <w:szCs w:val="18"/>
                <w:vertAlign w:val="baseline"/>
                <w:lang w:val="en-US" w:eastAsia="zh-CN"/>
              </w:rPr>
            </w:pPr>
            <w:r>
              <w:rPr>
                <w:rFonts w:hint="eastAsia"/>
                <w:b/>
                <w:bCs/>
                <w:kern w:val="0"/>
                <w:sz w:val="18"/>
                <w:szCs w:val="18"/>
                <w:vertAlign w:val="baseline"/>
                <w:lang w:val="en-US" w:eastAsia="zh-CN"/>
              </w:rPr>
              <w:t>tCO</w:t>
            </w:r>
            <w:r>
              <w:rPr>
                <w:rFonts w:hint="eastAsia"/>
                <w:b/>
                <w:bCs/>
                <w:kern w:val="0"/>
                <w:sz w:val="18"/>
                <w:szCs w:val="18"/>
                <w:vertAlign w:val="subscript"/>
                <w:lang w:val="en-US" w:eastAsia="zh-CN"/>
              </w:rPr>
              <w:t>2</w:t>
            </w:r>
            <w:r>
              <w:rPr>
                <w:rFonts w:hint="eastAsia"/>
                <w:b/>
                <w:bCs/>
                <w:kern w:val="0"/>
                <w:sz w:val="18"/>
                <w:szCs w:val="18"/>
                <w:vertAlign w:val="baseline"/>
                <w:lang w:val="en-US" w:eastAsia="zh-CN"/>
              </w:rPr>
              <w:t>/t</w:t>
            </w:r>
          </w:p>
        </w:tc>
        <w:tc>
          <w:tcPr>
            <w:tcW w:w="1558"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r>
              <w:rPr>
                <w:rFonts w:hint="eastAsia"/>
                <w:b/>
                <w:bCs/>
                <w:kern w:val="0"/>
                <w:sz w:val="18"/>
                <w:szCs w:val="18"/>
                <w:vertAlign w:val="baseline"/>
                <w:lang w:val="en-US" w:eastAsia="zh-CN"/>
              </w:rPr>
              <w:t>煅烧比例</w:t>
            </w:r>
          </w:p>
          <w:p>
            <w:pPr>
              <w:widowControl/>
              <w:tabs>
                <w:tab w:val="center" w:pos="4201"/>
                <w:tab w:val="right" w:leader="dot" w:pos="9298"/>
              </w:tabs>
              <w:autoSpaceDE w:val="0"/>
              <w:autoSpaceDN w:val="0"/>
              <w:jc w:val="center"/>
              <w:rPr>
                <w:rFonts w:hint="default"/>
                <w:b/>
                <w:bCs/>
                <w:kern w:val="0"/>
                <w:sz w:val="18"/>
                <w:szCs w:val="18"/>
                <w:vertAlign w:val="baseline"/>
                <w:lang w:val="en-US" w:eastAsia="zh-CN"/>
              </w:rPr>
            </w:pPr>
            <w:r>
              <w:rPr>
                <w:rFonts w:hint="eastAsia"/>
                <w:b/>
                <w:bCs/>
                <w:kern w:val="0"/>
                <w:sz w:val="18"/>
                <w:szCs w:val="18"/>
                <w:vertAlign w:val="baseline"/>
                <w:lang w:val="en-US" w:eastAsia="zh-CN"/>
              </w:rPr>
              <w:t>%</w:t>
            </w:r>
          </w:p>
        </w:tc>
      </w:tr>
      <w:tr>
        <w:tblPrEx>
          <w:tblCellMar>
            <w:top w:w="0" w:type="dxa"/>
            <w:left w:w="108" w:type="dxa"/>
            <w:bottom w:w="0" w:type="dxa"/>
            <w:right w:w="108" w:type="dxa"/>
          </w:tblCellMar>
        </w:tblPrEx>
        <w:trPr>
          <w:trHeight w:val="376" w:hRule="atLeast"/>
          <w:jc w:val="center"/>
        </w:trPr>
        <w:tc>
          <w:tcPr>
            <w:tcW w:w="1347"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ascii="Times New Roman" w:hAnsi="Times New Roman" w:eastAsia="宋体" w:cs="Times New Roman"/>
                <w:kern w:val="0"/>
                <w:sz w:val="18"/>
                <w:szCs w:val="18"/>
                <w:vertAlign w:val="baseline"/>
                <w:lang w:val="en-US" w:eastAsia="zh-CN" w:bidi="ar-SA"/>
              </w:rPr>
            </w:pPr>
            <w:r>
              <w:rPr>
                <w:rFonts w:hint="eastAsia"/>
                <w:kern w:val="0"/>
                <w:sz w:val="18"/>
                <w:szCs w:val="18"/>
                <w:vertAlign w:val="baseline"/>
                <w:lang w:val="en-US" w:eastAsia="zh-CN"/>
              </w:rPr>
              <w:t>石灰石</w:t>
            </w:r>
          </w:p>
        </w:tc>
        <w:tc>
          <w:tcPr>
            <w:tcW w:w="2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78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1760"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1636"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1558"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r>
      <w:tr>
        <w:tblPrEx>
          <w:tblCellMar>
            <w:top w:w="0" w:type="dxa"/>
            <w:left w:w="108" w:type="dxa"/>
            <w:bottom w:w="0" w:type="dxa"/>
            <w:right w:w="108" w:type="dxa"/>
          </w:tblCellMar>
        </w:tblPrEx>
        <w:trPr>
          <w:trHeight w:val="376" w:hRule="atLeast"/>
          <w:jc w:val="center"/>
        </w:trPr>
        <w:tc>
          <w:tcPr>
            <w:tcW w:w="1347"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ascii="Times New Roman" w:hAnsi="Times New Roman" w:eastAsia="宋体" w:cs="Times New Roman"/>
                <w:kern w:val="0"/>
                <w:sz w:val="18"/>
                <w:szCs w:val="18"/>
                <w:vertAlign w:val="baseline"/>
                <w:lang w:val="en-US" w:eastAsia="zh-CN" w:bidi="ar-SA"/>
              </w:rPr>
            </w:pPr>
            <w:r>
              <w:rPr>
                <w:rFonts w:hint="eastAsia"/>
                <w:kern w:val="0"/>
                <w:sz w:val="18"/>
                <w:szCs w:val="18"/>
                <w:vertAlign w:val="baseline"/>
                <w:lang w:val="en-US" w:eastAsia="zh-CN"/>
              </w:rPr>
              <w:t>白云石</w:t>
            </w:r>
          </w:p>
        </w:tc>
        <w:tc>
          <w:tcPr>
            <w:tcW w:w="2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78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1760"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1636"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1558"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r>
      <w:tr>
        <w:tblPrEx>
          <w:tblCellMar>
            <w:top w:w="0" w:type="dxa"/>
            <w:left w:w="108" w:type="dxa"/>
            <w:bottom w:w="0" w:type="dxa"/>
            <w:right w:w="108" w:type="dxa"/>
          </w:tblCellMar>
        </w:tblPrEx>
        <w:trPr>
          <w:trHeight w:val="376" w:hRule="atLeast"/>
          <w:jc w:val="center"/>
        </w:trPr>
        <w:tc>
          <w:tcPr>
            <w:tcW w:w="1347"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ascii="Times New Roman" w:hAnsi="Times New Roman" w:eastAsia="宋体" w:cs="Times New Roman"/>
                <w:kern w:val="0"/>
                <w:sz w:val="18"/>
                <w:szCs w:val="18"/>
                <w:vertAlign w:val="baseline"/>
                <w:lang w:val="en-US" w:eastAsia="zh-CN" w:bidi="ar-SA"/>
              </w:rPr>
            </w:pPr>
            <w:r>
              <w:rPr>
                <w:rFonts w:hint="eastAsia"/>
                <w:kern w:val="0"/>
                <w:sz w:val="18"/>
                <w:szCs w:val="18"/>
                <w:vertAlign w:val="baseline"/>
                <w:lang w:val="en-US" w:eastAsia="zh-CN"/>
              </w:rPr>
              <w:t>纯碱</w:t>
            </w:r>
          </w:p>
        </w:tc>
        <w:tc>
          <w:tcPr>
            <w:tcW w:w="2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78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1760"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1636"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1558"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r>
      <w:tr>
        <w:trPr>
          <w:trHeight w:val="376" w:hRule="atLeast"/>
          <w:jc w:val="center"/>
        </w:trPr>
        <w:tc>
          <w:tcPr>
            <w:tcW w:w="1347"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ascii="Times New Roman" w:hAnsi="Times New Roman" w:eastAsia="宋体" w:cs="Times New Roman"/>
                <w:kern w:val="0"/>
                <w:sz w:val="18"/>
                <w:szCs w:val="18"/>
                <w:vertAlign w:val="baseline"/>
                <w:lang w:val="en-US" w:eastAsia="zh-CN" w:bidi="ar-SA"/>
              </w:rPr>
            </w:pPr>
            <w:sdt>
              <w:sdtPr>
                <w:rPr>
                  <w:color w:val="auto"/>
                  <w:sz w:val="18"/>
                  <w:szCs w:val="18"/>
                </w:rPr>
                <w:alias w:val="标点符号检查"/>
                <w:id w:val="3441"/>
              </w:sdtPr>
              <w:sdtEndPr>
                <w:rPr>
                  <w:color w:val="auto"/>
                  <w:sz w:val="18"/>
                  <w:szCs w:val="18"/>
                </w:rPr>
              </w:sdtEndPr>
              <w:sdtContent>
                <w:r>
                  <w:rPr>
                    <w:rFonts w:hint="eastAsia"/>
                    <w:color w:val="auto"/>
                    <w:sz w:val="18"/>
                    <w:szCs w:val="18"/>
                  </w:rPr>
                  <w:t>...</w:t>
                </w:r>
              </w:sdtContent>
            </w:sdt>
          </w:p>
        </w:tc>
        <w:tc>
          <w:tcPr>
            <w:tcW w:w="2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78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1760"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1636"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c>
          <w:tcPr>
            <w:tcW w:w="1558"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p>
        </w:tc>
      </w:tr>
      <w:tr>
        <w:tblPrEx>
          <w:tblCellMar>
            <w:top w:w="0" w:type="dxa"/>
            <w:left w:w="108" w:type="dxa"/>
            <w:bottom w:w="0" w:type="dxa"/>
            <w:right w:w="108" w:type="dxa"/>
          </w:tblCellMar>
        </w:tblPrEx>
        <w:trPr>
          <w:trHeight w:val="376" w:hRule="atLeast"/>
          <w:jc w:val="center"/>
        </w:trPr>
        <w:tc>
          <w:tcPr>
            <w:tcW w:w="9360" w:type="dxa"/>
            <w:gridSpan w:val="7"/>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left"/>
              <w:rPr>
                <w:rFonts w:hint="eastAsia"/>
                <w:kern w:val="0"/>
                <w:sz w:val="18"/>
                <w:szCs w:val="18"/>
                <w:vertAlign w:val="baseline"/>
                <w:lang w:val="en-US" w:eastAsia="zh-CN"/>
              </w:rPr>
            </w:pPr>
            <w:r>
              <w:rPr>
                <w:rFonts w:hint="eastAsia"/>
                <w:b/>
                <w:bCs/>
                <w:kern w:val="0"/>
                <w:sz w:val="18"/>
                <w:szCs w:val="18"/>
                <w:vertAlign w:val="baseline"/>
                <w:lang w:val="en-US" w:eastAsia="zh-CN"/>
              </w:rPr>
              <w:t>2. 碳粉氧化的排放</w:t>
            </w:r>
          </w:p>
        </w:tc>
      </w:tr>
      <w:tr>
        <w:trPr>
          <w:trHeight w:val="712" w:hRule="atLeast"/>
          <w:jc w:val="center"/>
        </w:trPr>
        <w:tc>
          <w:tcPr>
            <w:tcW w:w="1347"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default" w:eastAsia="宋体"/>
                <w:b/>
                <w:bCs/>
                <w:color w:val="auto"/>
                <w:sz w:val="18"/>
                <w:szCs w:val="18"/>
                <w:lang w:val="en-US" w:eastAsia="zh-CN"/>
              </w:rPr>
            </w:pPr>
            <w:r>
              <w:rPr>
                <w:rFonts w:hint="eastAsia"/>
                <w:b/>
                <w:bCs/>
                <w:color w:val="auto"/>
                <w:sz w:val="18"/>
                <w:szCs w:val="18"/>
                <w:lang w:val="en-US" w:eastAsia="zh-CN"/>
              </w:rPr>
              <w:t>原材料种类</w:t>
            </w:r>
          </w:p>
        </w:tc>
        <w:tc>
          <w:tcPr>
            <w:tcW w:w="2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r>
              <w:rPr>
                <w:rFonts w:hint="eastAsia"/>
                <w:b/>
                <w:bCs/>
                <w:kern w:val="0"/>
                <w:sz w:val="18"/>
                <w:szCs w:val="18"/>
                <w:vertAlign w:val="baseline"/>
                <w:lang w:val="en-US" w:eastAsia="zh-CN"/>
              </w:rPr>
              <w:t>消耗量</w:t>
            </w:r>
          </w:p>
          <w:p>
            <w:pPr>
              <w:widowControl/>
              <w:tabs>
                <w:tab w:val="center" w:pos="4201"/>
                <w:tab w:val="right" w:leader="dot" w:pos="9298"/>
              </w:tabs>
              <w:autoSpaceDE w:val="0"/>
              <w:autoSpaceDN w:val="0"/>
              <w:jc w:val="center"/>
              <w:rPr>
                <w:rFonts w:hint="default"/>
                <w:b/>
                <w:bCs/>
                <w:kern w:val="0"/>
                <w:sz w:val="18"/>
                <w:szCs w:val="18"/>
                <w:vertAlign w:val="baseline"/>
                <w:lang w:val="en-US" w:eastAsia="zh-CN"/>
              </w:rPr>
            </w:pPr>
            <w:r>
              <w:rPr>
                <w:rFonts w:hint="eastAsia"/>
                <w:b/>
                <w:bCs/>
                <w:kern w:val="0"/>
                <w:sz w:val="18"/>
                <w:szCs w:val="18"/>
                <w:vertAlign w:val="baseline"/>
                <w:lang w:val="en-US" w:eastAsia="zh-CN"/>
              </w:rPr>
              <w:t>t</w:t>
            </w:r>
          </w:p>
        </w:tc>
        <w:tc>
          <w:tcPr>
            <w:tcW w:w="2758" w:type="dxa"/>
            <w:gridSpan w:val="3"/>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r>
              <w:rPr>
                <w:rFonts w:hint="eastAsia"/>
                <w:b/>
                <w:bCs/>
                <w:kern w:val="0"/>
                <w:sz w:val="18"/>
                <w:szCs w:val="18"/>
                <w:vertAlign w:val="baseline"/>
                <w:lang w:val="en-US" w:eastAsia="zh-CN"/>
              </w:rPr>
              <w:t>含碳量</w:t>
            </w:r>
          </w:p>
          <w:p>
            <w:pPr>
              <w:widowControl/>
              <w:tabs>
                <w:tab w:val="center" w:pos="4201"/>
                <w:tab w:val="right" w:leader="dot" w:pos="9298"/>
              </w:tabs>
              <w:autoSpaceDE w:val="0"/>
              <w:autoSpaceDN w:val="0"/>
              <w:jc w:val="center"/>
              <w:rPr>
                <w:rFonts w:hint="default"/>
                <w:b/>
                <w:bCs/>
                <w:kern w:val="0"/>
                <w:sz w:val="18"/>
                <w:szCs w:val="18"/>
                <w:vertAlign w:val="baseline"/>
                <w:lang w:val="en-US" w:eastAsia="zh-CN"/>
              </w:rPr>
            </w:pPr>
            <w:r>
              <w:rPr>
                <w:rFonts w:hint="eastAsia"/>
                <w:b/>
                <w:bCs/>
                <w:kern w:val="0"/>
                <w:sz w:val="18"/>
                <w:szCs w:val="18"/>
                <w:vertAlign w:val="baseline"/>
                <w:lang w:val="en-US" w:eastAsia="zh-CN"/>
              </w:rPr>
              <w:t>%</w:t>
            </w:r>
          </w:p>
        </w:tc>
        <w:tc>
          <w:tcPr>
            <w:tcW w:w="2979"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b/>
                <w:bCs/>
                <w:kern w:val="0"/>
                <w:sz w:val="18"/>
                <w:szCs w:val="18"/>
                <w:vertAlign w:val="baseline"/>
                <w:lang w:val="en-US" w:eastAsia="zh-CN"/>
              </w:rPr>
            </w:pPr>
            <w:r>
              <w:rPr>
                <w:rFonts w:hint="eastAsia"/>
                <w:b/>
                <w:bCs/>
                <w:kern w:val="0"/>
                <w:sz w:val="18"/>
                <w:szCs w:val="18"/>
                <w:vertAlign w:val="baseline"/>
                <w:lang w:val="en-US" w:eastAsia="zh-CN"/>
              </w:rPr>
              <w:t>碳氧化率</w:t>
            </w:r>
          </w:p>
          <w:p>
            <w:pPr>
              <w:widowControl/>
              <w:tabs>
                <w:tab w:val="center" w:pos="4201"/>
                <w:tab w:val="right" w:leader="dot" w:pos="9298"/>
              </w:tabs>
              <w:autoSpaceDE w:val="0"/>
              <w:autoSpaceDN w:val="0"/>
              <w:jc w:val="center"/>
              <w:rPr>
                <w:rFonts w:hint="default"/>
                <w:b/>
                <w:bCs/>
                <w:kern w:val="0"/>
                <w:sz w:val="18"/>
                <w:szCs w:val="18"/>
                <w:vertAlign w:val="baseline"/>
                <w:lang w:val="en-US" w:eastAsia="zh-CN"/>
              </w:rPr>
            </w:pPr>
            <w:r>
              <w:rPr>
                <w:rFonts w:hint="eastAsia"/>
                <w:b/>
                <w:bCs/>
                <w:kern w:val="0"/>
                <w:sz w:val="18"/>
                <w:szCs w:val="18"/>
                <w:vertAlign w:val="baseline"/>
                <w:lang w:val="en-US" w:eastAsia="zh-CN"/>
              </w:rPr>
              <w:t>%</w:t>
            </w:r>
          </w:p>
        </w:tc>
      </w:tr>
      <w:tr>
        <w:tblPrEx>
          <w:tblCellMar>
            <w:top w:w="0" w:type="dxa"/>
            <w:left w:w="108" w:type="dxa"/>
            <w:bottom w:w="0" w:type="dxa"/>
            <w:right w:w="108" w:type="dxa"/>
          </w:tblCellMar>
        </w:tblPrEx>
        <w:trPr>
          <w:trHeight w:val="386" w:hRule="atLeast"/>
          <w:jc w:val="center"/>
        </w:trPr>
        <w:tc>
          <w:tcPr>
            <w:tcW w:w="1347"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color w:val="auto"/>
                <w:sz w:val="18"/>
                <w:szCs w:val="18"/>
              </w:rPr>
            </w:pPr>
            <w:r>
              <w:rPr>
                <w:rFonts w:hint="eastAsia"/>
                <w:color w:val="auto"/>
                <w:sz w:val="18"/>
                <w:szCs w:val="18"/>
                <w:lang w:val="en-US" w:eastAsia="zh-CN"/>
              </w:rPr>
              <w:t>碳粉</w:t>
            </w:r>
          </w:p>
        </w:tc>
        <w:tc>
          <w:tcPr>
            <w:tcW w:w="2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kern w:val="0"/>
                <w:sz w:val="18"/>
                <w:szCs w:val="18"/>
                <w:vertAlign w:val="baseline"/>
                <w:lang w:val="en-US" w:eastAsia="zh-CN"/>
              </w:rPr>
            </w:pPr>
          </w:p>
        </w:tc>
        <w:tc>
          <w:tcPr>
            <w:tcW w:w="2758" w:type="dxa"/>
            <w:gridSpan w:val="3"/>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kern w:val="0"/>
                <w:sz w:val="18"/>
                <w:szCs w:val="18"/>
                <w:vertAlign w:val="baseline"/>
                <w:lang w:val="en-US" w:eastAsia="zh-CN"/>
              </w:rPr>
            </w:pPr>
          </w:p>
        </w:tc>
        <w:tc>
          <w:tcPr>
            <w:tcW w:w="2979"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jc w:val="center"/>
              <w:rPr>
                <w:rFonts w:hint="eastAsia"/>
                <w:kern w:val="0"/>
                <w:sz w:val="18"/>
                <w:szCs w:val="18"/>
                <w:vertAlign w:val="baseline"/>
                <w:lang w:val="en-US" w:eastAsia="zh-CN"/>
              </w:rPr>
            </w:pPr>
          </w:p>
        </w:tc>
      </w:tr>
    </w:tbl>
    <w:p>
      <w:pPr>
        <w:pStyle w:val="172"/>
        <w:spacing w:before="156" w:after="156"/>
        <w:rPr>
          <w:rFonts w:hint="eastAsia" w:ascii="Times New Roman" w:hAnsi="Times New Roman" w:cs="Times New Roman"/>
        </w:rPr>
      </w:pPr>
      <w:r>
        <w:rPr>
          <w:rFonts w:hint="eastAsia" w:ascii="Times New Roman" w:hAnsi="Times New Roman" w:cs="Times New Roman"/>
          <w:lang w:val="en-US" w:eastAsia="zh-CN"/>
        </w:rPr>
        <w:t>过程排放</w:t>
      </w:r>
      <w:r>
        <w:rPr>
          <w:rFonts w:ascii="Times New Roman" w:hAnsi="Times New Roman" w:cs="Times New Roman"/>
        </w:rPr>
        <w:t>的活动数据和排放因子数据一览表</w:t>
      </w:r>
    </w:p>
    <w:p>
      <w:pPr>
        <w:rPr>
          <w:rFonts w:hint="eastAsia"/>
          <w:color w:val="auto"/>
        </w:rPr>
      </w:pPr>
    </w:p>
    <w:p>
      <w:pPr>
        <w:pStyle w:val="172"/>
        <w:spacing w:before="156" w:after="156"/>
        <w:rPr>
          <w:rFonts w:ascii="Times New Roman"/>
        </w:rPr>
      </w:pPr>
      <w:r>
        <w:rPr>
          <w:rFonts w:ascii="Times New Roman"/>
        </w:rPr>
        <w:t>购入和输出的电力对应的活动数据及排放因子数据一览表</w:t>
      </w:r>
    </w:p>
    <w:tbl>
      <w:tblPr>
        <w:tblStyle w:val="38"/>
        <w:tblW w:w="47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2"/>
        <w:gridCol w:w="2579"/>
        <w:gridCol w:w="2580"/>
        <w:gridCol w:w="2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项目</w:t>
            </w:r>
            <w:r>
              <w:rPr>
                <w:rFonts w:ascii="Times New Roman" w:hAnsi="Times New Roman"/>
                <w:kern w:val="0"/>
                <w:sz w:val="18"/>
                <w:szCs w:val="18"/>
                <w:vertAlign w:val="superscript"/>
              </w:rPr>
              <w:t>a</w:t>
            </w:r>
          </w:p>
        </w:tc>
        <w:tc>
          <w:tcPr>
            <w:tcW w:w="1372"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电量（MWh）</w:t>
            </w: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排放因子（tCO</w:t>
            </w:r>
            <w:r>
              <w:rPr>
                <w:rFonts w:ascii="Times New Roman" w:hAnsi="Times New Roman"/>
                <w:b/>
                <w:color w:val="000000"/>
                <w:kern w:val="0"/>
                <w:sz w:val="18"/>
                <w:szCs w:val="18"/>
                <w:vertAlign w:val="subscript"/>
              </w:rPr>
              <w:t>2</w:t>
            </w:r>
            <w:r>
              <w:rPr>
                <w:rFonts w:ascii="Times New Roman" w:hAnsi="Times New Roman"/>
                <w:b/>
                <w:color w:val="000000"/>
                <w:kern w:val="0"/>
                <w:sz w:val="18"/>
                <w:szCs w:val="18"/>
              </w:rPr>
              <w:t>/MWh）</w:t>
            </w:r>
          </w:p>
        </w:tc>
        <w:tc>
          <w:tcPr>
            <w:tcW w:w="1374"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rPr>
            </w:pPr>
            <w:r>
              <w:rPr>
                <w:rFonts w:ascii="Times New Roman" w:hAnsi="Times New Roman"/>
                <w:b/>
                <w:bCs/>
                <w:kern w:val="0"/>
                <w:sz w:val="18"/>
                <w:szCs w:val="18"/>
              </w:rPr>
              <w:t>排放量（tCO</w:t>
            </w:r>
            <w:r>
              <w:rPr>
                <w:rFonts w:ascii="Times New Roman" w:hAnsi="Times New Roman"/>
                <w:b/>
                <w:bCs/>
                <w:kern w:val="0"/>
                <w:sz w:val="18"/>
                <w:szCs w:val="18"/>
                <w:vertAlign w:val="subscript"/>
              </w:rPr>
              <w:t>2</w:t>
            </w:r>
            <w:r>
              <w:rPr>
                <w:rFonts w:ascii="Times New Roman" w:hAnsi="Times New Roman"/>
                <w:b/>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购入</w:t>
            </w:r>
          </w:p>
        </w:tc>
        <w:tc>
          <w:tcPr>
            <w:tcW w:w="1372"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374"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输出</w:t>
            </w:r>
          </w:p>
        </w:tc>
        <w:tc>
          <w:tcPr>
            <w:tcW w:w="1372"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374"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rPr>
                <w:rFonts w:ascii="Times New Roman" w:hAnsi="Times New Roman"/>
                <w:color w:val="000000"/>
                <w:kern w:val="0"/>
                <w:sz w:val="18"/>
                <w:szCs w:val="18"/>
              </w:rPr>
            </w:pPr>
            <w:r>
              <w:rPr>
                <w:rFonts w:ascii="Times New Roman" w:hAnsi="Times New Roman"/>
                <w:kern w:val="0"/>
                <w:sz w:val="18"/>
                <w:szCs w:val="18"/>
                <w:vertAlign w:val="superscript"/>
              </w:rPr>
              <w:t>a</w:t>
            </w:r>
            <w:r>
              <w:rPr>
                <w:rFonts w:ascii="Times New Roman" w:hAnsi="Times New Roman"/>
                <w:color w:val="000000"/>
                <w:kern w:val="0"/>
                <w:sz w:val="18"/>
                <w:szCs w:val="18"/>
              </w:rPr>
              <w:t>若购入或输出的电力存在一个以上不同排放因子的电力来源，请自行分行一一列明。</w:t>
            </w:r>
          </w:p>
        </w:tc>
      </w:tr>
    </w:tbl>
    <w:p>
      <w:pPr>
        <w:pStyle w:val="159"/>
        <w:ind w:firstLine="420"/>
        <w:rPr>
          <w:rFonts w:ascii="Times New Roman"/>
        </w:rPr>
      </w:pPr>
    </w:p>
    <w:p>
      <w:pPr>
        <w:pStyle w:val="172"/>
        <w:spacing w:before="156" w:after="156"/>
        <w:rPr>
          <w:rFonts w:ascii="Times New Roman"/>
        </w:rPr>
      </w:pPr>
      <w:r>
        <w:rPr>
          <w:rFonts w:ascii="Times New Roman"/>
        </w:rPr>
        <w:t>购入和输出的热力对应的活动数据及排放因子数据一览表</w:t>
      </w:r>
    </w:p>
    <w:tbl>
      <w:tblPr>
        <w:tblStyle w:val="38"/>
        <w:tblW w:w="93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9"/>
        <w:gridCol w:w="2555"/>
        <w:gridCol w:w="2514"/>
        <w:gridCol w:w="2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699"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项目</w:t>
            </w:r>
            <w:r>
              <w:rPr>
                <w:rFonts w:ascii="Times New Roman" w:hAnsi="Times New Roman"/>
                <w:kern w:val="0"/>
                <w:sz w:val="18"/>
                <w:szCs w:val="18"/>
                <w:vertAlign w:val="superscript"/>
              </w:rPr>
              <w:t>a</w:t>
            </w:r>
          </w:p>
        </w:tc>
        <w:tc>
          <w:tcPr>
            <w:tcW w:w="2555"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热量（GJ）</w:t>
            </w:r>
          </w:p>
        </w:tc>
        <w:tc>
          <w:tcPr>
            <w:tcW w:w="2514"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排放因子（tCO</w:t>
            </w:r>
            <w:r>
              <w:rPr>
                <w:rFonts w:ascii="Times New Roman" w:hAnsi="Times New Roman"/>
                <w:b/>
                <w:color w:val="000000"/>
                <w:kern w:val="0"/>
                <w:sz w:val="18"/>
                <w:szCs w:val="18"/>
                <w:vertAlign w:val="subscript"/>
              </w:rPr>
              <w:t>2</w:t>
            </w:r>
            <w:r>
              <w:rPr>
                <w:rFonts w:ascii="Times New Roman" w:hAnsi="Times New Roman"/>
                <w:b/>
                <w:color w:val="000000"/>
                <w:kern w:val="0"/>
                <w:sz w:val="18"/>
                <w:szCs w:val="18"/>
              </w:rPr>
              <w:t>/GJ）</w:t>
            </w:r>
          </w:p>
        </w:tc>
        <w:tc>
          <w:tcPr>
            <w:tcW w:w="2590"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排放量（</w:t>
            </w:r>
            <w:r>
              <w:rPr>
                <w:rFonts w:ascii="Times New Roman" w:hAnsi="Times New Roman"/>
                <w:b/>
                <w:bCs/>
                <w:kern w:val="0"/>
                <w:sz w:val="18"/>
                <w:szCs w:val="18"/>
              </w:rPr>
              <w:t>tCO</w:t>
            </w:r>
            <w:r>
              <w:rPr>
                <w:rFonts w:ascii="Times New Roman" w:hAnsi="Times New Roman"/>
                <w:b/>
                <w:bCs/>
                <w:kern w:val="0"/>
                <w:sz w:val="18"/>
                <w:szCs w:val="18"/>
                <w:vertAlign w:val="subscript"/>
              </w:rPr>
              <w:t>2</w:t>
            </w:r>
            <w:r>
              <w:rPr>
                <w:rFonts w:ascii="Times New Roman" w:hAnsi="Times New Roman"/>
                <w:b/>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699"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购入</w:t>
            </w:r>
          </w:p>
        </w:tc>
        <w:tc>
          <w:tcPr>
            <w:tcW w:w="2555"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2514"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2590"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699"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输出</w:t>
            </w:r>
          </w:p>
        </w:tc>
        <w:tc>
          <w:tcPr>
            <w:tcW w:w="2555"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2514"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2590"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9358" w:type="dxa"/>
            <w:gridSpan w:val="4"/>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rPr>
                <w:rFonts w:ascii="Times New Roman" w:hAnsi="Times New Roman"/>
                <w:color w:val="000000"/>
                <w:kern w:val="0"/>
                <w:sz w:val="18"/>
                <w:szCs w:val="18"/>
              </w:rPr>
            </w:pPr>
            <w:r>
              <w:rPr>
                <w:rFonts w:ascii="Times New Roman" w:hAnsi="Times New Roman"/>
                <w:kern w:val="0"/>
                <w:sz w:val="18"/>
                <w:szCs w:val="18"/>
                <w:vertAlign w:val="superscript"/>
              </w:rPr>
              <w:t>a</w:t>
            </w:r>
            <w:r>
              <w:rPr>
                <w:rFonts w:ascii="Times New Roman" w:hAnsi="Times New Roman"/>
                <w:color w:val="000000"/>
                <w:kern w:val="0"/>
                <w:sz w:val="18"/>
                <w:szCs w:val="18"/>
              </w:rPr>
              <w:t>若购入或输出的热力存在一个以上不同排放因子的热力来源，请自行分行一一列明。</w:t>
            </w:r>
          </w:p>
        </w:tc>
      </w:tr>
    </w:tbl>
    <w:p>
      <w:pPr>
        <w:pStyle w:val="140"/>
        <w:numPr>
          <w:ilvl w:val="0"/>
          <w:numId w:val="0"/>
        </w:numPr>
        <w:rPr>
          <w:rFonts w:hint="eastAsia"/>
          <w:color w:val="auto"/>
        </w:rPr>
      </w:pPr>
    </w:p>
    <w:p>
      <w:pPr>
        <w:pStyle w:val="140"/>
        <w:numPr>
          <w:ilvl w:val="0"/>
          <w:numId w:val="0"/>
        </w:numPr>
        <w:rPr>
          <w:rFonts w:hint="eastAsia"/>
          <w:color w:val="auto"/>
        </w:rPr>
      </w:pPr>
    </w:p>
    <w:p>
      <w:pPr>
        <w:pStyle w:val="140"/>
        <w:numPr>
          <w:ilvl w:val="0"/>
          <w:numId w:val="0"/>
        </w:numPr>
        <w:rPr>
          <w:rFonts w:hint="eastAsia"/>
          <w:color w:val="auto"/>
        </w:rPr>
      </w:pPr>
    </w:p>
    <w:p>
      <w:pPr>
        <w:pStyle w:val="140"/>
        <w:numPr>
          <w:ilvl w:val="0"/>
          <w:numId w:val="0"/>
        </w:numPr>
        <w:rPr>
          <w:rFonts w:hint="eastAsia"/>
          <w:color w:val="auto"/>
        </w:rPr>
      </w:pPr>
    </w:p>
    <w:p>
      <w:pPr>
        <w:pStyle w:val="140"/>
        <w:numPr>
          <w:ilvl w:val="0"/>
          <w:numId w:val="0"/>
        </w:numPr>
        <w:rPr>
          <w:rFonts w:hint="eastAsia"/>
          <w:color w:val="auto"/>
        </w:rPr>
      </w:pPr>
    </w:p>
    <w:p>
      <w:pPr>
        <w:pStyle w:val="140"/>
        <w:numPr>
          <w:ilvl w:val="0"/>
          <w:numId w:val="0"/>
        </w:numPr>
        <w:rPr>
          <w:rFonts w:hint="eastAsia"/>
          <w:color w:val="auto"/>
        </w:rPr>
      </w:pPr>
    </w:p>
    <w:p>
      <w:pPr>
        <w:pStyle w:val="140"/>
        <w:numPr>
          <w:ilvl w:val="0"/>
          <w:numId w:val="0"/>
        </w:numPr>
        <w:rPr>
          <w:rFonts w:hint="eastAsia"/>
          <w:color w:val="auto"/>
        </w:rPr>
      </w:pPr>
    </w:p>
    <w:p>
      <w:pPr>
        <w:pStyle w:val="171"/>
        <w:bidi w:val="0"/>
        <w:rPr>
          <w:rFonts w:hint="eastAsia"/>
        </w:rPr>
      </w:pPr>
      <w:bookmarkStart w:id="147" w:name="pindex886"/>
      <w:bookmarkEnd w:id="147"/>
      <w:bookmarkStart w:id="148" w:name="_Toc24518"/>
      <w:r>
        <w:rPr>
          <w:rFonts w:hint="eastAsia"/>
          <w:lang w:val="en-US" w:eastAsia="zh-CN"/>
        </w:rPr>
        <w:br w:type="textWrapping"/>
      </w:r>
      <w:r>
        <w:rPr>
          <w:rFonts w:hint="eastAsia"/>
        </w:rPr>
        <w:t>（资料性）</w:t>
      </w:r>
      <w:r>
        <w:rPr>
          <w:rFonts w:hint="eastAsia"/>
        </w:rPr>
        <w:br w:type="textWrapping"/>
      </w:r>
      <w:r>
        <w:rPr>
          <w:rFonts w:hint="eastAsia"/>
        </w:rPr>
        <w:t>相关参数推荐值</w:t>
      </w:r>
      <w:bookmarkEnd w:id="148"/>
    </w:p>
    <w:p>
      <w:pPr>
        <w:ind w:firstLine="480"/>
        <w:jc w:val="center"/>
        <w:rPr>
          <w:color w:val="auto"/>
        </w:rPr>
      </w:pPr>
    </w:p>
    <w:p>
      <w:pPr>
        <w:adjustRightInd w:val="0"/>
        <w:snapToGrid w:val="0"/>
        <w:ind w:firstLine="420" w:firstLineChars="200"/>
        <w:rPr>
          <w:rFonts w:ascii="宋体"/>
          <w:color w:val="auto"/>
          <w:kern w:val="0"/>
          <w:szCs w:val="20"/>
        </w:rPr>
      </w:pPr>
      <w:r>
        <w:rPr>
          <w:rFonts w:hint="eastAsia" w:ascii="宋体"/>
          <w:color w:val="auto"/>
          <w:kern w:val="0"/>
          <w:szCs w:val="20"/>
        </w:rPr>
        <w:t>相关参数推荐值见表</w:t>
      </w:r>
      <w:r>
        <w:rPr>
          <w:rFonts w:hint="eastAsia" w:ascii="宋体"/>
          <w:color w:val="auto"/>
          <w:kern w:val="0"/>
          <w:szCs w:val="20"/>
          <w:lang w:val="en-US" w:eastAsia="zh-CN"/>
        </w:rPr>
        <w:t>B</w:t>
      </w:r>
      <w:r>
        <w:rPr>
          <w:rFonts w:hint="eastAsia" w:ascii="宋体"/>
          <w:color w:val="auto"/>
          <w:kern w:val="0"/>
          <w:szCs w:val="20"/>
        </w:rPr>
        <w:t>.1、表</w:t>
      </w:r>
      <w:r>
        <w:rPr>
          <w:rFonts w:hint="eastAsia" w:ascii="宋体"/>
          <w:color w:val="auto"/>
          <w:kern w:val="0"/>
          <w:szCs w:val="20"/>
          <w:lang w:val="en-US" w:eastAsia="zh-CN"/>
        </w:rPr>
        <w:t>B</w:t>
      </w:r>
      <w:r>
        <w:rPr>
          <w:rFonts w:hint="eastAsia" w:ascii="宋体"/>
          <w:color w:val="auto"/>
          <w:kern w:val="0"/>
          <w:szCs w:val="20"/>
        </w:rPr>
        <w:t>.2、表</w:t>
      </w:r>
      <w:r>
        <w:rPr>
          <w:rFonts w:hint="eastAsia" w:ascii="宋体"/>
          <w:color w:val="auto"/>
          <w:kern w:val="0"/>
          <w:szCs w:val="20"/>
          <w:lang w:val="en-US" w:eastAsia="zh-CN"/>
        </w:rPr>
        <w:t>B</w:t>
      </w:r>
      <w:r>
        <w:rPr>
          <w:rFonts w:hint="eastAsia" w:ascii="宋体"/>
          <w:color w:val="auto"/>
          <w:kern w:val="0"/>
          <w:szCs w:val="20"/>
        </w:rPr>
        <w:t>.3</w:t>
      </w:r>
    </w:p>
    <w:p>
      <w:pPr>
        <w:pStyle w:val="172"/>
        <w:numPr>
          <w:ilvl w:val="1"/>
          <w:numId w:val="0"/>
        </w:numPr>
        <w:bidi w:val="0"/>
        <w:ind w:leftChars="0"/>
        <w:jc w:val="center"/>
      </w:pPr>
      <w:r>
        <w:rPr>
          <w:rFonts w:hint="eastAsia"/>
          <w:lang w:val="en-US" w:eastAsia="zh-CN"/>
        </w:rPr>
        <w:t xml:space="preserve">表B.1 </w:t>
      </w:r>
      <w:r>
        <w:rPr>
          <w:rFonts w:hint="eastAsia"/>
        </w:rPr>
        <w:t>常用燃料相关参数推荐值</w:t>
      </w:r>
      <w:bookmarkStart w:id="149" w:name="pindex891"/>
      <w:bookmarkEnd w:id="149"/>
    </w:p>
    <w:tbl>
      <w:tblPr>
        <w:tblStyle w:val="38"/>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749"/>
        <w:gridCol w:w="1615"/>
        <w:gridCol w:w="2175"/>
        <w:gridCol w:w="2030"/>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74" w:type="dxa"/>
            <w:gridSpan w:val="2"/>
            <w:vAlign w:val="center"/>
          </w:tcPr>
          <w:p>
            <w:pPr>
              <w:pStyle w:val="26"/>
              <w:keepNext w:val="0"/>
              <w:keepLines w:val="0"/>
              <w:pageBreakBefore w:val="0"/>
              <w:widowControl/>
              <w:kinsoku/>
              <w:wordWrap/>
              <w:overflowPunct/>
              <w:topLinePunct w:val="0"/>
              <w:autoSpaceDE w:val="0"/>
              <w:autoSpaceDN w:val="0"/>
              <w:bidi w:val="0"/>
              <w:adjustRightInd/>
              <w:snapToGrid w:val="0"/>
              <w:spacing w:line="240" w:lineRule="auto"/>
              <w:ind w:firstLine="0" w:firstLineChars="0"/>
              <w:jc w:val="center"/>
              <w:textAlignment w:val="auto"/>
              <w:rPr>
                <w:color w:val="auto"/>
                <w:sz w:val="18"/>
                <w:szCs w:val="18"/>
              </w:rPr>
            </w:pPr>
            <w:r>
              <w:rPr>
                <w:rFonts w:hint="eastAsia"/>
                <w:color w:val="auto"/>
                <w:sz w:val="18"/>
                <w:szCs w:val="18"/>
              </w:rPr>
              <w:t>燃料种类</w:t>
            </w:r>
          </w:p>
        </w:tc>
        <w:tc>
          <w:tcPr>
            <w:tcW w:w="1615" w:type="dxa"/>
            <w:vAlign w:val="center"/>
          </w:tcPr>
          <w:p>
            <w:pPr>
              <w:pStyle w:val="26"/>
              <w:keepNext w:val="0"/>
              <w:keepLines w:val="0"/>
              <w:pageBreakBefore w:val="0"/>
              <w:widowControl/>
              <w:kinsoku/>
              <w:wordWrap/>
              <w:overflowPunct/>
              <w:topLinePunct w:val="0"/>
              <w:autoSpaceDE w:val="0"/>
              <w:autoSpaceDN w:val="0"/>
              <w:bidi w:val="0"/>
              <w:adjustRightInd/>
              <w:snapToGrid w:val="0"/>
              <w:spacing w:line="240" w:lineRule="auto"/>
              <w:ind w:firstLine="0" w:firstLineChars="0"/>
              <w:jc w:val="center"/>
              <w:textAlignment w:val="auto"/>
              <w:rPr>
                <w:color w:val="auto"/>
                <w:sz w:val="18"/>
                <w:szCs w:val="18"/>
              </w:rPr>
            </w:pPr>
            <w:r>
              <w:rPr>
                <w:rFonts w:hint="eastAsia"/>
                <w:color w:val="auto"/>
                <w:sz w:val="18"/>
                <w:szCs w:val="18"/>
              </w:rPr>
              <w:t>计量单位</w:t>
            </w:r>
          </w:p>
        </w:tc>
        <w:tc>
          <w:tcPr>
            <w:tcW w:w="2175" w:type="dxa"/>
            <w:vAlign w:val="center"/>
          </w:tcPr>
          <w:p>
            <w:pPr>
              <w:pStyle w:val="26"/>
              <w:keepNext w:val="0"/>
              <w:keepLines w:val="0"/>
              <w:pageBreakBefore w:val="0"/>
              <w:widowControl/>
              <w:kinsoku/>
              <w:wordWrap/>
              <w:overflowPunct/>
              <w:topLinePunct w:val="0"/>
              <w:autoSpaceDE w:val="0"/>
              <w:autoSpaceDN w:val="0"/>
              <w:bidi w:val="0"/>
              <w:adjustRightInd/>
              <w:snapToGrid w:val="0"/>
              <w:spacing w:line="240" w:lineRule="auto"/>
              <w:ind w:firstLine="0" w:firstLineChars="0"/>
              <w:jc w:val="center"/>
              <w:textAlignment w:val="auto"/>
              <w:rPr>
                <w:color w:val="auto"/>
                <w:sz w:val="18"/>
                <w:szCs w:val="18"/>
              </w:rPr>
            </w:pPr>
            <w:r>
              <w:rPr>
                <w:rFonts w:hint="eastAsia"/>
                <w:color w:val="auto"/>
                <w:sz w:val="18"/>
                <w:szCs w:val="18"/>
              </w:rPr>
              <w:t>低位发热量</w:t>
            </w:r>
          </w:p>
          <w:p>
            <w:pPr>
              <w:pStyle w:val="26"/>
              <w:keepNext w:val="0"/>
              <w:keepLines w:val="0"/>
              <w:pageBreakBefore w:val="0"/>
              <w:widowControl/>
              <w:kinsoku/>
              <w:wordWrap/>
              <w:overflowPunct/>
              <w:topLinePunct w:val="0"/>
              <w:autoSpaceDE w:val="0"/>
              <w:autoSpaceDN w:val="0"/>
              <w:bidi w:val="0"/>
              <w:adjustRightInd/>
              <w:snapToGrid w:val="0"/>
              <w:spacing w:line="240" w:lineRule="auto"/>
              <w:ind w:firstLine="0" w:firstLineChars="0"/>
              <w:jc w:val="center"/>
              <w:textAlignment w:val="auto"/>
              <w:rPr>
                <w:color w:val="auto"/>
                <w:sz w:val="18"/>
                <w:szCs w:val="18"/>
              </w:rPr>
            </w:pPr>
            <w:r>
              <w:rPr>
                <w:rFonts w:hint="eastAsia"/>
                <w:color w:val="auto"/>
                <w:sz w:val="18"/>
                <w:szCs w:val="18"/>
              </w:rPr>
              <w:t>GJ/t或GJ/10</w:t>
            </w:r>
            <w:r>
              <w:rPr>
                <w:rFonts w:hint="eastAsia"/>
                <w:color w:val="auto"/>
                <w:sz w:val="18"/>
                <w:szCs w:val="18"/>
                <w:vertAlign w:val="superscript"/>
              </w:rPr>
              <w:t>4</w:t>
            </w:r>
            <w:r>
              <w:rPr>
                <w:rFonts w:hint="eastAsia"/>
                <w:color w:val="auto"/>
                <w:sz w:val="18"/>
                <w:szCs w:val="18"/>
              </w:rPr>
              <w:t>Nm</w:t>
            </w:r>
            <w:r>
              <w:rPr>
                <w:rFonts w:hint="eastAsia"/>
                <w:color w:val="auto"/>
                <w:sz w:val="18"/>
                <w:szCs w:val="18"/>
                <w:vertAlign w:val="superscript"/>
              </w:rPr>
              <w:t>3</w:t>
            </w:r>
          </w:p>
        </w:tc>
        <w:tc>
          <w:tcPr>
            <w:tcW w:w="2030" w:type="dxa"/>
            <w:vAlign w:val="center"/>
          </w:tcPr>
          <w:p>
            <w:pPr>
              <w:pStyle w:val="26"/>
              <w:keepNext w:val="0"/>
              <w:keepLines w:val="0"/>
              <w:pageBreakBefore w:val="0"/>
              <w:widowControl/>
              <w:kinsoku/>
              <w:wordWrap/>
              <w:overflowPunct/>
              <w:topLinePunct w:val="0"/>
              <w:autoSpaceDE w:val="0"/>
              <w:autoSpaceDN w:val="0"/>
              <w:bidi w:val="0"/>
              <w:adjustRightInd/>
              <w:snapToGrid w:val="0"/>
              <w:spacing w:line="240" w:lineRule="auto"/>
              <w:ind w:firstLine="0" w:firstLineChars="0"/>
              <w:jc w:val="center"/>
              <w:textAlignment w:val="auto"/>
              <w:rPr>
                <w:color w:val="auto"/>
                <w:sz w:val="18"/>
                <w:szCs w:val="18"/>
              </w:rPr>
            </w:pPr>
            <w:r>
              <w:rPr>
                <w:rFonts w:hint="eastAsia"/>
                <w:color w:val="auto"/>
                <w:sz w:val="18"/>
                <w:szCs w:val="18"/>
              </w:rPr>
              <w:t>单位热值含碳量</w:t>
            </w:r>
          </w:p>
          <w:p>
            <w:pPr>
              <w:pStyle w:val="26"/>
              <w:keepNext w:val="0"/>
              <w:keepLines w:val="0"/>
              <w:pageBreakBefore w:val="0"/>
              <w:widowControl/>
              <w:kinsoku/>
              <w:wordWrap/>
              <w:overflowPunct/>
              <w:topLinePunct w:val="0"/>
              <w:autoSpaceDE w:val="0"/>
              <w:autoSpaceDN w:val="0"/>
              <w:bidi w:val="0"/>
              <w:adjustRightInd/>
              <w:snapToGrid w:val="0"/>
              <w:spacing w:line="240" w:lineRule="auto"/>
              <w:ind w:firstLine="0" w:firstLineChars="0"/>
              <w:jc w:val="center"/>
              <w:textAlignment w:val="auto"/>
              <w:rPr>
                <w:color w:val="auto"/>
                <w:sz w:val="18"/>
                <w:szCs w:val="18"/>
              </w:rPr>
            </w:pPr>
            <w:r>
              <w:rPr>
                <w:rFonts w:hint="eastAsia"/>
                <w:color w:val="auto"/>
                <w:sz w:val="18"/>
                <w:szCs w:val="18"/>
              </w:rPr>
              <w:t>tC/GJ</w:t>
            </w:r>
          </w:p>
        </w:tc>
        <w:tc>
          <w:tcPr>
            <w:tcW w:w="1624" w:type="dxa"/>
            <w:vAlign w:val="center"/>
          </w:tcPr>
          <w:p>
            <w:pPr>
              <w:pStyle w:val="26"/>
              <w:keepNext w:val="0"/>
              <w:keepLines w:val="0"/>
              <w:pageBreakBefore w:val="0"/>
              <w:widowControl/>
              <w:kinsoku/>
              <w:wordWrap/>
              <w:overflowPunct/>
              <w:topLinePunct w:val="0"/>
              <w:autoSpaceDE w:val="0"/>
              <w:autoSpaceDN w:val="0"/>
              <w:bidi w:val="0"/>
              <w:adjustRightInd/>
              <w:snapToGrid w:val="0"/>
              <w:spacing w:line="240" w:lineRule="auto"/>
              <w:ind w:firstLine="0" w:firstLineChars="0"/>
              <w:jc w:val="center"/>
              <w:textAlignment w:val="auto"/>
              <w:rPr>
                <w:color w:val="auto"/>
                <w:sz w:val="18"/>
                <w:szCs w:val="18"/>
              </w:rPr>
            </w:pPr>
            <w:r>
              <w:rPr>
                <w:rFonts w:hint="eastAsia"/>
                <w:color w:val="auto"/>
                <w:sz w:val="18"/>
                <w:szCs w:val="18"/>
              </w:rPr>
              <w:t>燃料碳氧化率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restart"/>
            <w:vAlign w:val="center"/>
          </w:tcPr>
          <w:p>
            <w:pPr>
              <w:pStyle w:val="26"/>
              <w:spacing w:line="288" w:lineRule="auto"/>
              <w:ind w:firstLine="0" w:firstLineChars="0"/>
              <w:jc w:val="center"/>
              <w:rPr>
                <w:color w:val="auto"/>
                <w:sz w:val="18"/>
                <w:szCs w:val="18"/>
              </w:rPr>
            </w:pPr>
            <w:r>
              <w:rPr>
                <w:rFonts w:hint="eastAsia"/>
                <w:color w:val="auto"/>
                <w:sz w:val="18"/>
                <w:szCs w:val="18"/>
              </w:rPr>
              <w:t>固体燃料</w:t>
            </w: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无烟煤</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26.7</w:t>
            </w:r>
            <w:r>
              <w:rPr>
                <w:rFonts w:hint="eastAsia"/>
                <w:color w:val="auto"/>
                <w:sz w:val="18"/>
                <w:szCs w:val="18"/>
                <w:vertAlign w:val="superscript"/>
              </w:rPr>
              <w:t>c</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27.4</w:t>
            </w:r>
            <w:r>
              <w:rPr>
                <w:rFonts w:ascii="Segoe UI Symbol" w:hAnsi="Segoe UI Symbol"/>
                <w:color w:val="auto"/>
                <w:sz w:val="18"/>
                <w:szCs w:val="18"/>
              </w:rPr>
              <w:t>☓</w:t>
            </w:r>
            <w:r>
              <w:rPr>
                <w:rFonts w:hint="eastAsia" w:hAnsi="黑体"/>
                <w:color w:val="auto"/>
                <w:sz w:val="18"/>
                <w:szCs w:val="18"/>
              </w:rPr>
              <w:t>10</w:t>
            </w:r>
            <w:r>
              <w:rPr>
                <w:rFonts w:hint="eastAsia" w:hAnsi="黑体"/>
                <w:color w:val="auto"/>
                <w:sz w:val="18"/>
                <w:szCs w:val="18"/>
                <w:vertAlign w:val="superscript"/>
              </w:rPr>
              <w:t>-3 b</w:t>
            </w:r>
          </w:p>
        </w:tc>
        <w:tc>
          <w:tcPr>
            <w:tcW w:w="1624" w:type="dxa"/>
            <w:vMerge w:val="restart"/>
            <w:vAlign w:val="center"/>
          </w:tcPr>
          <w:p>
            <w:pPr>
              <w:pStyle w:val="26"/>
              <w:spacing w:line="288" w:lineRule="auto"/>
              <w:ind w:firstLine="0" w:firstLineChars="0"/>
              <w:jc w:val="center"/>
              <w:rPr>
                <w:color w:val="auto"/>
                <w:sz w:val="18"/>
                <w:szCs w:val="18"/>
              </w:rPr>
            </w:pPr>
            <w:r>
              <w:rPr>
                <w:rFonts w:hint="eastAsia"/>
                <w:color w:val="auto"/>
                <w:sz w:val="18"/>
                <w:szCs w:val="18"/>
              </w:rPr>
              <w:t>98%（窑炉）</w:t>
            </w:r>
          </w:p>
          <w:p>
            <w:pPr>
              <w:pStyle w:val="26"/>
              <w:spacing w:line="288" w:lineRule="auto"/>
              <w:ind w:firstLine="0" w:firstLineChars="0"/>
              <w:jc w:val="center"/>
              <w:rPr>
                <w:color w:val="auto"/>
                <w:sz w:val="18"/>
                <w:szCs w:val="18"/>
              </w:rPr>
            </w:pPr>
            <w:r>
              <w:rPr>
                <w:rFonts w:hint="eastAsia"/>
                <w:color w:val="auto"/>
                <w:sz w:val="18"/>
                <w:szCs w:val="18"/>
              </w:rPr>
              <w:t>95%（工业锅炉）</w:t>
            </w:r>
          </w:p>
          <w:p>
            <w:pPr>
              <w:pStyle w:val="26"/>
              <w:spacing w:line="288" w:lineRule="auto"/>
              <w:ind w:firstLine="0" w:firstLineChars="0"/>
              <w:jc w:val="center"/>
              <w:rPr>
                <w:color w:val="auto"/>
                <w:sz w:val="18"/>
                <w:szCs w:val="18"/>
              </w:rPr>
            </w:pPr>
            <w:r>
              <w:rPr>
                <w:rFonts w:hint="eastAsia"/>
                <w:color w:val="auto"/>
                <w:sz w:val="18"/>
                <w:szCs w:val="18"/>
              </w:rPr>
              <w:t>91%（</w:t>
            </w:r>
            <w:sdt>
              <w:sdtPr>
                <w:rPr>
                  <w:color w:val="auto"/>
                  <w:sz w:val="18"/>
                  <w:szCs w:val="18"/>
                </w:rPr>
                <w:alias w:val="非推荐词"/>
                <w:id w:val="1011744"/>
              </w:sdtPr>
              <w:sdtEndPr>
                <w:rPr>
                  <w:color w:val="auto"/>
                  <w:sz w:val="18"/>
                  <w:szCs w:val="18"/>
                </w:rPr>
              </w:sdtEndPr>
              <w:sdtContent>
                <w:r>
                  <w:rPr>
                    <w:rFonts w:hint="eastAsia"/>
                    <w:color w:val="auto"/>
                    <w:sz w:val="18"/>
                    <w:szCs w:val="18"/>
                  </w:rPr>
                  <w:t>其他</w:t>
                </w:r>
              </w:sdtContent>
            </w:sdt>
            <w:r>
              <w:rPr>
                <w:rFonts w:hint="eastAsia"/>
                <w:color w:val="auto"/>
                <w:sz w:val="18"/>
                <w:szCs w:val="18"/>
              </w:rPr>
              <w:t>燃烧设备）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烟煤</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19.570</w:t>
            </w:r>
            <w:r>
              <w:rPr>
                <w:rFonts w:hint="eastAsia"/>
                <w:color w:val="auto"/>
                <w:sz w:val="18"/>
                <w:szCs w:val="18"/>
                <w:vertAlign w:val="superscript"/>
              </w:rPr>
              <w:t>d</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26.1×10</w:t>
            </w:r>
            <w:r>
              <w:rPr>
                <w:rFonts w:hint="eastAsia"/>
                <w:color w:val="auto"/>
                <w:sz w:val="18"/>
                <w:szCs w:val="18"/>
                <w:vertAlign w:val="superscript"/>
              </w:rPr>
              <w:t>-3 b</w:t>
            </w:r>
          </w:p>
        </w:tc>
        <w:tc>
          <w:tcPr>
            <w:tcW w:w="1624" w:type="dxa"/>
            <w:vMerge w:val="continue"/>
            <w:vAlign w:val="center"/>
          </w:tcPr>
          <w:p>
            <w:pPr>
              <w:pStyle w:val="26"/>
              <w:spacing w:line="288" w:lineRule="auto"/>
              <w:ind w:firstLine="0" w:firstLineChars="0"/>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褐煤</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11.9</w:t>
            </w:r>
            <w:r>
              <w:rPr>
                <w:rFonts w:hint="eastAsia"/>
                <w:color w:val="auto"/>
                <w:sz w:val="18"/>
                <w:szCs w:val="18"/>
                <w:vertAlign w:val="superscript"/>
              </w:rPr>
              <w:t>c</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28×10</w:t>
            </w:r>
            <w:r>
              <w:rPr>
                <w:rFonts w:hint="eastAsia"/>
                <w:color w:val="auto"/>
                <w:sz w:val="18"/>
                <w:szCs w:val="18"/>
                <w:vertAlign w:val="superscript"/>
              </w:rPr>
              <w:t>-3 b</w:t>
            </w:r>
          </w:p>
        </w:tc>
        <w:tc>
          <w:tcPr>
            <w:tcW w:w="1624" w:type="dxa"/>
            <w:vMerge w:val="continue"/>
            <w:vAlign w:val="center"/>
          </w:tcPr>
          <w:p>
            <w:pPr>
              <w:pStyle w:val="26"/>
              <w:spacing w:line="288" w:lineRule="auto"/>
              <w:ind w:firstLine="0" w:firstLineChars="0"/>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洗精煤</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26.334</w:t>
            </w:r>
            <w:r>
              <w:rPr>
                <w:rFonts w:hint="eastAsia"/>
                <w:color w:val="auto"/>
                <w:sz w:val="18"/>
                <w:szCs w:val="18"/>
                <w:vertAlign w:val="superscript"/>
              </w:rPr>
              <w:t>a</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25.4</w:t>
            </w:r>
            <w:r>
              <w:rPr>
                <w:rFonts w:ascii="Segoe UI Symbol" w:hAnsi="Segoe UI Symbol"/>
                <w:color w:val="auto"/>
                <w:sz w:val="18"/>
                <w:szCs w:val="18"/>
              </w:rPr>
              <w:t>☓</w:t>
            </w:r>
            <w:r>
              <w:rPr>
                <w:rFonts w:hint="eastAsia" w:hAnsi="黑体"/>
                <w:color w:val="auto"/>
                <w:sz w:val="18"/>
                <w:szCs w:val="18"/>
              </w:rPr>
              <w:t>10</w:t>
            </w:r>
            <w:r>
              <w:rPr>
                <w:rFonts w:hint="eastAsia" w:hAnsi="黑体"/>
                <w:color w:val="auto"/>
                <w:sz w:val="18"/>
                <w:szCs w:val="18"/>
                <w:vertAlign w:val="superscript"/>
              </w:rPr>
              <w:t>-3 d</w:t>
            </w:r>
          </w:p>
        </w:tc>
        <w:tc>
          <w:tcPr>
            <w:tcW w:w="1624" w:type="dxa"/>
            <w:vMerge w:val="continue"/>
            <w:vAlign w:val="center"/>
          </w:tcPr>
          <w:p>
            <w:pPr>
              <w:pStyle w:val="26"/>
              <w:spacing w:line="288" w:lineRule="auto"/>
              <w:ind w:firstLine="0" w:firstLineChars="0"/>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其他煤制品</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17.460</w:t>
            </w:r>
            <w:r>
              <w:rPr>
                <w:rFonts w:hint="eastAsia"/>
                <w:color w:val="auto"/>
                <w:sz w:val="18"/>
                <w:szCs w:val="18"/>
                <w:vertAlign w:val="superscript"/>
              </w:rPr>
              <w:t>d</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33.60×10</w:t>
            </w:r>
            <w:r>
              <w:rPr>
                <w:rFonts w:hint="eastAsia"/>
                <w:color w:val="auto"/>
                <w:sz w:val="18"/>
                <w:szCs w:val="18"/>
                <w:vertAlign w:val="superscript"/>
              </w:rPr>
              <w:t>-3 d</w:t>
            </w:r>
          </w:p>
        </w:tc>
        <w:tc>
          <w:tcPr>
            <w:tcW w:w="1624" w:type="dxa"/>
            <w:vMerge w:val="continue"/>
            <w:vAlign w:val="center"/>
          </w:tcPr>
          <w:p>
            <w:pPr>
              <w:pStyle w:val="26"/>
              <w:spacing w:line="288" w:lineRule="auto"/>
              <w:ind w:firstLine="0" w:firstLineChars="0"/>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石油焦</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32.5</w:t>
            </w:r>
            <w:r>
              <w:rPr>
                <w:rFonts w:hint="eastAsia"/>
                <w:color w:val="auto"/>
                <w:sz w:val="18"/>
                <w:szCs w:val="18"/>
                <w:vertAlign w:val="superscript"/>
              </w:rPr>
              <w:t>c</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27.5</w:t>
            </w:r>
            <w:r>
              <w:rPr>
                <w:rFonts w:ascii="Segoe UI Symbol" w:hAnsi="Segoe UI Symbol"/>
                <w:color w:val="auto"/>
                <w:sz w:val="18"/>
                <w:szCs w:val="18"/>
              </w:rPr>
              <w:t>☓</w:t>
            </w:r>
            <w:r>
              <w:rPr>
                <w:rFonts w:hint="eastAsia" w:hAnsi="黑体"/>
                <w:color w:val="auto"/>
                <w:sz w:val="18"/>
                <w:szCs w:val="18"/>
              </w:rPr>
              <w:t>10</w:t>
            </w:r>
            <w:r>
              <w:rPr>
                <w:rFonts w:hint="eastAsia" w:hAnsi="黑体"/>
                <w:color w:val="auto"/>
                <w:sz w:val="18"/>
                <w:szCs w:val="18"/>
                <w:vertAlign w:val="superscript"/>
              </w:rPr>
              <w:t>-3 b</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焦炭</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28.435</w:t>
            </w:r>
            <w:r>
              <w:rPr>
                <w:rFonts w:hint="eastAsia"/>
                <w:color w:val="auto"/>
                <w:sz w:val="18"/>
                <w:szCs w:val="18"/>
                <w:vertAlign w:val="superscript"/>
              </w:rPr>
              <w:t>a</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29.5×10</w:t>
            </w:r>
            <w:r>
              <w:rPr>
                <w:rFonts w:hint="eastAsia"/>
                <w:color w:val="auto"/>
                <w:sz w:val="18"/>
                <w:szCs w:val="18"/>
                <w:vertAlign w:val="superscript"/>
              </w:rPr>
              <w:t>-3 b</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restart"/>
            <w:vAlign w:val="center"/>
          </w:tcPr>
          <w:p>
            <w:pPr>
              <w:pStyle w:val="26"/>
              <w:spacing w:line="288" w:lineRule="auto"/>
              <w:ind w:firstLine="0" w:firstLineChars="0"/>
              <w:jc w:val="center"/>
              <w:rPr>
                <w:color w:val="auto"/>
                <w:sz w:val="18"/>
                <w:szCs w:val="18"/>
              </w:rPr>
            </w:pPr>
            <w:r>
              <w:rPr>
                <w:rFonts w:hint="eastAsia"/>
                <w:color w:val="auto"/>
                <w:sz w:val="18"/>
                <w:szCs w:val="18"/>
              </w:rPr>
              <w:t>液体燃料</w:t>
            </w: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原油</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41.816</w:t>
            </w:r>
            <w:r>
              <w:rPr>
                <w:rFonts w:hint="eastAsia"/>
                <w:color w:val="auto"/>
                <w:sz w:val="18"/>
                <w:szCs w:val="18"/>
                <w:vertAlign w:val="superscript"/>
              </w:rPr>
              <w:t>a</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20.1×10</w:t>
            </w:r>
            <w:r>
              <w:rPr>
                <w:rFonts w:hint="eastAsia"/>
                <w:color w:val="auto"/>
                <w:sz w:val="18"/>
                <w:szCs w:val="18"/>
                <w:vertAlign w:val="superscript"/>
              </w:rPr>
              <w:t>-3 b</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燃料油</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41.816</w:t>
            </w:r>
            <w:r>
              <w:rPr>
                <w:rFonts w:hint="eastAsia"/>
                <w:color w:val="auto"/>
                <w:sz w:val="18"/>
                <w:szCs w:val="18"/>
                <w:vertAlign w:val="superscript"/>
              </w:rPr>
              <w:t>a</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21.1×10</w:t>
            </w:r>
            <w:r>
              <w:rPr>
                <w:rFonts w:hint="eastAsia"/>
                <w:color w:val="auto"/>
                <w:sz w:val="18"/>
                <w:szCs w:val="18"/>
                <w:vertAlign w:val="superscript"/>
              </w:rPr>
              <w:t>-3 b</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汽油</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43.070</w:t>
            </w:r>
            <w:r>
              <w:rPr>
                <w:rFonts w:hint="eastAsia"/>
                <w:color w:val="auto"/>
                <w:sz w:val="18"/>
                <w:szCs w:val="18"/>
                <w:vertAlign w:val="superscript"/>
              </w:rPr>
              <w:t>a</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18.9</w:t>
            </w:r>
            <w:r>
              <w:rPr>
                <w:rFonts w:ascii="Segoe UI Symbol" w:hAnsi="Segoe UI Symbol"/>
                <w:color w:val="auto"/>
                <w:sz w:val="18"/>
                <w:szCs w:val="18"/>
              </w:rPr>
              <w:t>☓</w:t>
            </w:r>
            <w:r>
              <w:rPr>
                <w:rFonts w:hint="eastAsia" w:hAnsi="黑体"/>
                <w:color w:val="auto"/>
                <w:sz w:val="18"/>
                <w:szCs w:val="18"/>
              </w:rPr>
              <w:t>10</w:t>
            </w:r>
            <w:r>
              <w:rPr>
                <w:rFonts w:hint="eastAsia" w:hAnsi="黑体"/>
                <w:color w:val="auto"/>
                <w:sz w:val="18"/>
                <w:szCs w:val="18"/>
                <w:vertAlign w:val="superscript"/>
              </w:rPr>
              <w:t>-3 b</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柴油</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42.652</w:t>
            </w:r>
            <w:r>
              <w:rPr>
                <w:rFonts w:hint="eastAsia"/>
                <w:color w:val="auto"/>
                <w:sz w:val="18"/>
                <w:szCs w:val="18"/>
                <w:vertAlign w:val="superscript"/>
              </w:rPr>
              <w:t>a</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20.2</w:t>
            </w:r>
            <w:r>
              <w:rPr>
                <w:rFonts w:ascii="Segoe UI Symbol" w:hAnsi="Segoe UI Symbol"/>
                <w:color w:val="auto"/>
                <w:sz w:val="18"/>
                <w:szCs w:val="18"/>
              </w:rPr>
              <w:t>☓</w:t>
            </w:r>
            <w:r>
              <w:rPr>
                <w:rFonts w:hint="eastAsia" w:hAnsi="黑体"/>
                <w:color w:val="auto"/>
                <w:sz w:val="18"/>
                <w:szCs w:val="18"/>
              </w:rPr>
              <w:t>10</w:t>
            </w:r>
            <w:r>
              <w:rPr>
                <w:rFonts w:hint="eastAsia" w:hAnsi="黑体"/>
                <w:color w:val="auto"/>
                <w:sz w:val="18"/>
                <w:szCs w:val="18"/>
                <w:vertAlign w:val="superscript"/>
              </w:rPr>
              <w:t>-3 b</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煤油</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43.070</w:t>
            </w:r>
            <w:r>
              <w:rPr>
                <w:rFonts w:hint="eastAsia"/>
                <w:color w:val="auto"/>
                <w:sz w:val="18"/>
                <w:szCs w:val="18"/>
                <w:vertAlign w:val="superscript"/>
              </w:rPr>
              <w:t>a</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19.6×10</w:t>
            </w:r>
            <w:r>
              <w:rPr>
                <w:rFonts w:hint="eastAsia"/>
                <w:color w:val="auto"/>
                <w:sz w:val="18"/>
                <w:szCs w:val="18"/>
                <w:vertAlign w:val="superscript"/>
              </w:rPr>
              <w:t>-3 b</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液化天然气</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44.2</w:t>
            </w:r>
            <w:r>
              <w:rPr>
                <w:rFonts w:hint="eastAsia"/>
                <w:color w:val="auto"/>
                <w:sz w:val="18"/>
                <w:szCs w:val="18"/>
                <w:vertAlign w:val="superscript"/>
              </w:rPr>
              <w:t>c</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17.2</w:t>
            </w:r>
            <w:r>
              <w:rPr>
                <w:rFonts w:ascii="Segoe UI Symbol" w:hAnsi="Segoe UI Symbol"/>
                <w:color w:val="auto"/>
                <w:sz w:val="18"/>
                <w:szCs w:val="18"/>
              </w:rPr>
              <w:t>☓</w:t>
            </w:r>
            <w:r>
              <w:rPr>
                <w:rFonts w:hint="eastAsia" w:hAnsi="黑体"/>
                <w:color w:val="auto"/>
                <w:sz w:val="18"/>
                <w:szCs w:val="18"/>
              </w:rPr>
              <w:t>10</w:t>
            </w:r>
            <w:r>
              <w:rPr>
                <w:rFonts w:hint="eastAsia" w:hAnsi="黑体"/>
                <w:color w:val="auto"/>
                <w:sz w:val="18"/>
                <w:szCs w:val="18"/>
                <w:vertAlign w:val="superscript"/>
              </w:rPr>
              <w:t>-3 b</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液化石油气</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50.179</w:t>
            </w:r>
            <w:r>
              <w:rPr>
                <w:rFonts w:hint="eastAsia"/>
                <w:color w:val="auto"/>
                <w:sz w:val="18"/>
                <w:szCs w:val="18"/>
                <w:vertAlign w:val="superscript"/>
              </w:rPr>
              <w:t>a</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17.2×10</w:t>
            </w:r>
            <w:r>
              <w:rPr>
                <w:rFonts w:hint="eastAsia"/>
                <w:color w:val="auto"/>
                <w:sz w:val="18"/>
                <w:szCs w:val="18"/>
                <w:vertAlign w:val="superscript"/>
              </w:rPr>
              <w:t>-3 b</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煤焦油</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t</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33.453</w:t>
            </w:r>
            <w:r>
              <w:rPr>
                <w:rFonts w:hint="eastAsia"/>
                <w:color w:val="auto"/>
                <w:sz w:val="18"/>
                <w:szCs w:val="18"/>
                <w:vertAlign w:val="superscript"/>
              </w:rPr>
              <w:t>a</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22.0×10</w:t>
            </w:r>
            <w:r>
              <w:rPr>
                <w:rFonts w:hint="eastAsia"/>
                <w:color w:val="auto"/>
                <w:sz w:val="18"/>
                <w:szCs w:val="18"/>
                <w:vertAlign w:val="superscript"/>
              </w:rPr>
              <w:t>-3 c</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restart"/>
            <w:vAlign w:val="center"/>
          </w:tcPr>
          <w:p>
            <w:pPr>
              <w:pStyle w:val="26"/>
              <w:spacing w:line="288" w:lineRule="auto"/>
              <w:ind w:firstLine="0" w:firstLineChars="0"/>
              <w:jc w:val="center"/>
              <w:rPr>
                <w:color w:val="auto"/>
                <w:sz w:val="18"/>
                <w:szCs w:val="18"/>
              </w:rPr>
            </w:pPr>
            <w:r>
              <w:rPr>
                <w:rFonts w:hint="eastAsia"/>
                <w:color w:val="auto"/>
                <w:sz w:val="18"/>
                <w:szCs w:val="18"/>
              </w:rPr>
              <w:t>气体燃料</w:t>
            </w: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焦炉煤气</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10</w:t>
            </w:r>
            <w:r>
              <w:rPr>
                <w:rFonts w:hint="eastAsia"/>
                <w:color w:val="auto"/>
                <w:sz w:val="18"/>
                <w:szCs w:val="18"/>
                <w:vertAlign w:val="superscript"/>
              </w:rPr>
              <w:t>4</w:t>
            </w:r>
            <w:r>
              <w:rPr>
                <w:rFonts w:hint="eastAsia"/>
                <w:color w:val="auto"/>
                <w:sz w:val="18"/>
                <w:szCs w:val="18"/>
              </w:rPr>
              <w:t>Nm</w:t>
            </w:r>
            <w:r>
              <w:rPr>
                <w:rFonts w:hint="eastAsia"/>
                <w:color w:val="auto"/>
                <w:sz w:val="18"/>
                <w:szCs w:val="18"/>
                <w:vertAlign w:val="superscript"/>
              </w:rPr>
              <w:t>3</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179.81</w:t>
            </w:r>
            <w:r>
              <w:rPr>
                <w:rFonts w:hint="eastAsia"/>
                <w:color w:val="auto"/>
                <w:sz w:val="18"/>
                <w:szCs w:val="18"/>
                <w:vertAlign w:val="superscript"/>
              </w:rPr>
              <w:t>a</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12.1×10</w:t>
            </w:r>
            <w:r>
              <w:rPr>
                <w:rFonts w:hint="eastAsia"/>
                <w:color w:val="auto"/>
                <w:sz w:val="18"/>
                <w:szCs w:val="18"/>
                <w:vertAlign w:val="superscript"/>
              </w:rPr>
              <w:t>-3 c</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高炉煤气</w:t>
            </w:r>
          </w:p>
          <w:p>
            <w:pPr>
              <w:pStyle w:val="26"/>
              <w:spacing w:line="288" w:lineRule="auto"/>
              <w:ind w:firstLine="0" w:firstLineChars="0"/>
              <w:jc w:val="center"/>
              <w:rPr>
                <w:color w:val="auto"/>
                <w:sz w:val="18"/>
                <w:szCs w:val="18"/>
              </w:rPr>
            </w:pPr>
            <w:r>
              <w:rPr>
                <w:rFonts w:hint="eastAsia"/>
                <w:color w:val="auto"/>
                <w:sz w:val="18"/>
                <w:szCs w:val="18"/>
              </w:rPr>
              <w:t>（鼓风炉煤气）</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10</w:t>
            </w:r>
            <w:r>
              <w:rPr>
                <w:rFonts w:hint="eastAsia"/>
                <w:color w:val="auto"/>
                <w:sz w:val="18"/>
                <w:szCs w:val="18"/>
                <w:vertAlign w:val="superscript"/>
              </w:rPr>
              <w:t>4</w:t>
            </w:r>
            <w:r>
              <w:rPr>
                <w:rFonts w:hint="eastAsia"/>
                <w:color w:val="auto"/>
                <w:sz w:val="18"/>
                <w:szCs w:val="18"/>
              </w:rPr>
              <w:t>Nm</w:t>
            </w:r>
            <w:r>
              <w:rPr>
                <w:rFonts w:hint="eastAsia"/>
                <w:color w:val="auto"/>
                <w:sz w:val="18"/>
                <w:szCs w:val="18"/>
                <w:vertAlign w:val="superscript"/>
              </w:rPr>
              <w:t>3</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33.000</w:t>
            </w:r>
            <w:r>
              <w:rPr>
                <w:rFonts w:hint="eastAsia"/>
                <w:color w:val="auto"/>
                <w:sz w:val="18"/>
                <w:szCs w:val="18"/>
                <w:vertAlign w:val="superscript"/>
              </w:rPr>
              <w:t>d</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70.8×10</w:t>
            </w:r>
            <w:r>
              <w:rPr>
                <w:rFonts w:hint="eastAsia"/>
                <w:color w:val="auto"/>
                <w:sz w:val="18"/>
                <w:szCs w:val="18"/>
                <w:vertAlign w:val="superscript"/>
              </w:rPr>
              <w:t>-3 c</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转炉煤气</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10</w:t>
            </w:r>
            <w:r>
              <w:rPr>
                <w:rFonts w:hint="eastAsia"/>
                <w:color w:val="auto"/>
                <w:sz w:val="18"/>
                <w:szCs w:val="18"/>
                <w:vertAlign w:val="superscript"/>
              </w:rPr>
              <w:t>4</w:t>
            </w:r>
            <w:r>
              <w:rPr>
                <w:rFonts w:hint="eastAsia"/>
                <w:color w:val="auto"/>
                <w:sz w:val="18"/>
                <w:szCs w:val="18"/>
              </w:rPr>
              <w:t>Nm</w:t>
            </w:r>
            <w:r>
              <w:rPr>
                <w:rFonts w:hint="eastAsia"/>
                <w:color w:val="auto"/>
                <w:sz w:val="18"/>
                <w:szCs w:val="18"/>
                <w:vertAlign w:val="superscript"/>
              </w:rPr>
              <w:t>3</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84.000</w:t>
            </w:r>
            <w:r>
              <w:rPr>
                <w:rFonts w:hint="eastAsia"/>
                <w:color w:val="auto"/>
                <w:sz w:val="18"/>
                <w:szCs w:val="18"/>
                <w:vertAlign w:val="superscript"/>
              </w:rPr>
              <w:t>d</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49.60×10</w:t>
            </w:r>
            <w:r>
              <w:rPr>
                <w:rFonts w:hint="eastAsia"/>
                <w:color w:val="auto"/>
                <w:sz w:val="18"/>
                <w:szCs w:val="18"/>
                <w:vertAlign w:val="superscript"/>
              </w:rPr>
              <w:t>-3 d</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其他煤气</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10</w:t>
            </w:r>
            <w:r>
              <w:rPr>
                <w:rFonts w:hint="eastAsia"/>
                <w:color w:val="auto"/>
                <w:sz w:val="18"/>
                <w:szCs w:val="18"/>
                <w:vertAlign w:val="superscript"/>
              </w:rPr>
              <w:t>4</w:t>
            </w:r>
            <w:r>
              <w:rPr>
                <w:rFonts w:hint="eastAsia"/>
                <w:color w:val="auto"/>
                <w:sz w:val="18"/>
                <w:szCs w:val="18"/>
              </w:rPr>
              <w:t>Nm</w:t>
            </w:r>
            <w:r>
              <w:rPr>
                <w:rFonts w:hint="eastAsia"/>
                <w:color w:val="auto"/>
                <w:sz w:val="18"/>
                <w:szCs w:val="18"/>
                <w:vertAlign w:val="superscript"/>
              </w:rPr>
              <w:t>3</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52.270</w:t>
            </w:r>
            <w:r>
              <w:rPr>
                <w:rFonts w:hint="eastAsia"/>
                <w:color w:val="auto"/>
                <w:sz w:val="18"/>
                <w:szCs w:val="18"/>
                <w:vertAlign w:val="superscript"/>
              </w:rPr>
              <w:t>a</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12.20×10</w:t>
            </w:r>
            <w:r>
              <w:rPr>
                <w:rFonts w:hint="eastAsia"/>
                <w:color w:val="auto"/>
                <w:sz w:val="18"/>
                <w:szCs w:val="18"/>
                <w:vertAlign w:val="superscript"/>
              </w:rPr>
              <w:t>-3 d</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vAlign w:val="center"/>
          </w:tcPr>
          <w:p>
            <w:pPr>
              <w:pStyle w:val="26"/>
              <w:spacing w:line="288" w:lineRule="auto"/>
              <w:ind w:firstLine="0" w:firstLineChars="0"/>
              <w:jc w:val="center"/>
              <w:rPr>
                <w:color w:val="auto"/>
                <w:sz w:val="18"/>
                <w:szCs w:val="18"/>
              </w:rPr>
            </w:pPr>
          </w:p>
        </w:tc>
        <w:tc>
          <w:tcPr>
            <w:tcW w:w="1749" w:type="dxa"/>
            <w:vAlign w:val="center"/>
          </w:tcPr>
          <w:p>
            <w:pPr>
              <w:pStyle w:val="26"/>
              <w:spacing w:line="288" w:lineRule="auto"/>
              <w:ind w:firstLine="0" w:firstLineChars="0"/>
              <w:jc w:val="center"/>
              <w:rPr>
                <w:color w:val="auto"/>
                <w:sz w:val="18"/>
                <w:szCs w:val="18"/>
              </w:rPr>
            </w:pPr>
            <w:r>
              <w:rPr>
                <w:rFonts w:hint="eastAsia"/>
                <w:color w:val="auto"/>
                <w:sz w:val="18"/>
                <w:szCs w:val="18"/>
              </w:rPr>
              <w:t>天然气</w:t>
            </w:r>
          </w:p>
        </w:tc>
        <w:tc>
          <w:tcPr>
            <w:tcW w:w="1615" w:type="dxa"/>
            <w:vAlign w:val="center"/>
          </w:tcPr>
          <w:p>
            <w:pPr>
              <w:pStyle w:val="26"/>
              <w:spacing w:line="288" w:lineRule="auto"/>
              <w:ind w:firstLine="0" w:firstLineChars="0"/>
              <w:jc w:val="center"/>
              <w:rPr>
                <w:color w:val="auto"/>
                <w:sz w:val="18"/>
                <w:szCs w:val="18"/>
              </w:rPr>
            </w:pPr>
            <w:r>
              <w:rPr>
                <w:rFonts w:hint="eastAsia"/>
                <w:color w:val="auto"/>
                <w:sz w:val="18"/>
                <w:szCs w:val="18"/>
              </w:rPr>
              <w:t>10</w:t>
            </w:r>
            <w:r>
              <w:rPr>
                <w:rFonts w:hint="eastAsia"/>
                <w:color w:val="auto"/>
                <w:sz w:val="18"/>
                <w:szCs w:val="18"/>
                <w:vertAlign w:val="superscript"/>
              </w:rPr>
              <w:t>4</w:t>
            </w:r>
            <w:r>
              <w:rPr>
                <w:rFonts w:hint="eastAsia"/>
                <w:color w:val="auto"/>
                <w:sz w:val="18"/>
                <w:szCs w:val="18"/>
              </w:rPr>
              <w:t>Nm</w:t>
            </w:r>
            <w:r>
              <w:rPr>
                <w:rFonts w:hint="eastAsia"/>
                <w:color w:val="auto"/>
                <w:sz w:val="18"/>
                <w:szCs w:val="18"/>
                <w:vertAlign w:val="superscript"/>
              </w:rPr>
              <w:t>3</w:t>
            </w:r>
          </w:p>
        </w:tc>
        <w:tc>
          <w:tcPr>
            <w:tcW w:w="2175" w:type="dxa"/>
            <w:vAlign w:val="center"/>
          </w:tcPr>
          <w:p>
            <w:pPr>
              <w:pStyle w:val="26"/>
              <w:spacing w:line="288" w:lineRule="auto"/>
              <w:ind w:firstLine="0" w:firstLineChars="0"/>
              <w:jc w:val="center"/>
              <w:rPr>
                <w:color w:val="auto"/>
                <w:sz w:val="18"/>
                <w:szCs w:val="18"/>
              </w:rPr>
            </w:pPr>
            <w:r>
              <w:rPr>
                <w:rFonts w:hint="eastAsia"/>
                <w:color w:val="auto"/>
                <w:sz w:val="18"/>
                <w:szCs w:val="18"/>
              </w:rPr>
              <w:t>389.31</w:t>
            </w:r>
            <w:r>
              <w:rPr>
                <w:rFonts w:hint="eastAsia"/>
                <w:color w:val="auto"/>
                <w:sz w:val="18"/>
                <w:szCs w:val="18"/>
                <w:vertAlign w:val="superscript"/>
              </w:rPr>
              <w:t>a</w:t>
            </w:r>
          </w:p>
        </w:tc>
        <w:tc>
          <w:tcPr>
            <w:tcW w:w="2030" w:type="dxa"/>
            <w:vAlign w:val="center"/>
          </w:tcPr>
          <w:p>
            <w:pPr>
              <w:pStyle w:val="26"/>
              <w:spacing w:line="288" w:lineRule="auto"/>
              <w:ind w:firstLine="0" w:firstLineChars="0"/>
              <w:jc w:val="center"/>
              <w:rPr>
                <w:color w:val="auto"/>
                <w:sz w:val="18"/>
                <w:szCs w:val="18"/>
              </w:rPr>
            </w:pPr>
            <w:r>
              <w:rPr>
                <w:rFonts w:hint="eastAsia"/>
                <w:color w:val="auto"/>
                <w:sz w:val="18"/>
                <w:szCs w:val="18"/>
              </w:rPr>
              <w:t>15.3</w:t>
            </w:r>
            <w:r>
              <w:rPr>
                <w:rFonts w:ascii="Segoe UI Symbol" w:hAnsi="Segoe UI Symbol"/>
                <w:color w:val="auto"/>
                <w:sz w:val="18"/>
                <w:szCs w:val="18"/>
              </w:rPr>
              <w:t>☓</w:t>
            </w:r>
            <w:r>
              <w:rPr>
                <w:rFonts w:hint="eastAsia" w:hAnsi="黑体"/>
                <w:color w:val="auto"/>
                <w:sz w:val="18"/>
                <w:szCs w:val="18"/>
              </w:rPr>
              <w:t>10</w:t>
            </w:r>
            <w:r>
              <w:rPr>
                <w:rFonts w:hint="eastAsia" w:hAnsi="黑体"/>
                <w:color w:val="auto"/>
                <w:sz w:val="18"/>
                <w:szCs w:val="18"/>
                <w:vertAlign w:val="superscript"/>
              </w:rPr>
              <w:t>-3 b</w:t>
            </w:r>
          </w:p>
        </w:tc>
        <w:tc>
          <w:tcPr>
            <w:tcW w:w="1624" w:type="dxa"/>
            <w:vAlign w:val="center"/>
          </w:tcPr>
          <w:p>
            <w:pPr>
              <w:pStyle w:val="26"/>
              <w:spacing w:line="288" w:lineRule="auto"/>
              <w:ind w:firstLine="0" w:firstLineChars="0"/>
              <w:jc w:val="center"/>
              <w:rPr>
                <w:color w:val="auto"/>
                <w:sz w:val="18"/>
                <w:szCs w:val="18"/>
              </w:rPr>
            </w:pPr>
            <w:r>
              <w:rPr>
                <w:rFonts w:hint="eastAsia"/>
                <w:color w:val="auto"/>
                <w:sz w:val="18"/>
                <w:szCs w:val="18"/>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18" w:type="dxa"/>
            <w:gridSpan w:val="6"/>
            <w:vAlign w:val="center"/>
          </w:tcPr>
          <w:p>
            <w:pPr>
              <w:pStyle w:val="26"/>
              <w:spacing w:line="288" w:lineRule="auto"/>
              <w:ind w:firstLine="0" w:firstLineChars="0"/>
              <w:rPr>
                <w:color w:val="auto"/>
                <w:sz w:val="18"/>
                <w:szCs w:val="18"/>
              </w:rPr>
            </w:pPr>
            <w:r>
              <w:rPr>
                <w:rFonts w:hint="eastAsia"/>
                <w:color w:val="auto"/>
                <w:sz w:val="18"/>
                <w:szCs w:val="18"/>
              </w:rPr>
              <w:t>备注：</w:t>
            </w:r>
          </w:p>
          <w:p>
            <w:pPr>
              <w:pStyle w:val="26"/>
              <w:spacing w:line="288" w:lineRule="auto"/>
              <w:jc w:val="left"/>
              <w:rPr>
                <w:color w:val="auto"/>
                <w:sz w:val="18"/>
                <w:szCs w:val="18"/>
              </w:rPr>
            </w:pPr>
            <w:r>
              <w:rPr>
                <w:rFonts w:hint="eastAsia"/>
                <w:color w:val="auto"/>
                <w:sz w:val="18"/>
                <w:szCs w:val="18"/>
              </w:rPr>
              <w:t>1）</w:t>
            </w:r>
            <w:r>
              <w:rPr>
                <w:rFonts w:hint="eastAsia"/>
                <w:color w:val="auto"/>
                <w:sz w:val="18"/>
                <w:szCs w:val="18"/>
                <w:vertAlign w:val="superscript"/>
              </w:rPr>
              <w:t>a</w:t>
            </w:r>
            <w:r>
              <w:rPr>
                <w:rFonts w:hint="eastAsia"/>
                <w:color w:val="auto"/>
                <w:sz w:val="18"/>
                <w:szCs w:val="18"/>
              </w:rPr>
              <w:t xml:space="preserve"> 数据取值来源为《中国能源统计年鉴2022》；（单位进行了换算，从kJ/kg换算为GJ/t，焦炉煤气、天然气低位发热量取参考文件最大值）</w:t>
            </w:r>
          </w:p>
          <w:p>
            <w:pPr>
              <w:pStyle w:val="26"/>
              <w:spacing w:line="288" w:lineRule="auto"/>
              <w:jc w:val="left"/>
              <w:rPr>
                <w:color w:val="auto"/>
                <w:sz w:val="18"/>
                <w:szCs w:val="18"/>
              </w:rPr>
            </w:pPr>
            <w:r>
              <w:rPr>
                <w:rFonts w:hint="eastAsia"/>
                <w:color w:val="auto"/>
                <w:sz w:val="18"/>
                <w:szCs w:val="18"/>
              </w:rPr>
              <w:t>2）</w:t>
            </w:r>
            <w:r>
              <w:rPr>
                <w:rFonts w:hint="eastAsia"/>
                <w:color w:val="auto"/>
                <w:sz w:val="18"/>
                <w:szCs w:val="18"/>
                <w:vertAlign w:val="superscript"/>
              </w:rPr>
              <w:t>b</w:t>
            </w:r>
            <w:r>
              <w:rPr>
                <w:rFonts w:hint="eastAsia"/>
                <w:color w:val="auto"/>
                <w:sz w:val="18"/>
                <w:szCs w:val="18"/>
              </w:rPr>
              <w:t xml:space="preserve"> 数据取值来源为《省级温室气体清单指南（试行）》；</w:t>
            </w:r>
          </w:p>
          <w:p>
            <w:pPr>
              <w:pStyle w:val="26"/>
              <w:spacing w:line="288" w:lineRule="auto"/>
              <w:jc w:val="left"/>
              <w:rPr>
                <w:color w:val="auto"/>
                <w:sz w:val="18"/>
                <w:szCs w:val="18"/>
              </w:rPr>
            </w:pPr>
            <w:r>
              <w:rPr>
                <w:rFonts w:hint="eastAsia"/>
                <w:color w:val="auto"/>
                <w:sz w:val="18"/>
                <w:szCs w:val="18"/>
              </w:rPr>
              <w:t>3）</w:t>
            </w:r>
            <w:r>
              <w:rPr>
                <w:rFonts w:hint="eastAsia"/>
                <w:color w:val="auto"/>
                <w:sz w:val="18"/>
                <w:szCs w:val="18"/>
                <w:vertAlign w:val="superscript"/>
              </w:rPr>
              <w:t>c</w:t>
            </w:r>
            <w:r>
              <w:rPr>
                <w:rFonts w:hint="eastAsia"/>
                <w:color w:val="auto"/>
                <w:sz w:val="18"/>
                <w:szCs w:val="18"/>
              </w:rPr>
              <w:t xml:space="preserve"> 数据取值来源为《IPCC 2006年国家温室气体清单指南》；</w:t>
            </w:r>
          </w:p>
          <w:p>
            <w:pPr>
              <w:pStyle w:val="26"/>
              <w:spacing w:line="288" w:lineRule="auto"/>
              <w:jc w:val="left"/>
              <w:rPr>
                <w:color w:val="auto"/>
                <w:sz w:val="18"/>
                <w:szCs w:val="18"/>
              </w:rPr>
            </w:pPr>
            <w:r>
              <w:rPr>
                <w:rFonts w:hint="eastAsia"/>
                <w:color w:val="auto"/>
                <w:sz w:val="18"/>
                <w:szCs w:val="18"/>
              </w:rPr>
              <w:t>4）</w:t>
            </w:r>
            <w:r>
              <w:rPr>
                <w:rFonts w:hint="eastAsia"/>
                <w:color w:val="auto"/>
                <w:sz w:val="18"/>
                <w:szCs w:val="18"/>
                <w:vertAlign w:val="superscript"/>
              </w:rPr>
              <w:t>d</w:t>
            </w:r>
            <w:r>
              <w:rPr>
                <w:rFonts w:hint="eastAsia"/>
                <w:color w:val="auto"/>
                <w:sz w:val="18"/>
                <w:szCs w:val="18"/>
              </w:rPr>
              <w:t xml:space="preserve"> 数据取值来源为行业经验数据；</w:t>
            </w:r>
          </w:p>
          <w:p>
            <w:pPr>
              <w:pStyle w:val="26"/>
              <w:spacing w:line="288" w:lineRule="auto"/>
              <w:jc w:val="left"/>
              <w:rPr>
                <w:color w:val="auto"/>
                <w:sz w:val="18"/>
                <w:szCs w:val="18"/>
              </w:rPr>
            </w:pPr>
            <w:r>
              <w:rPr>
                <w:rFonts w:hint="eastAsia"/>
                <w:color w:val="auto"/>
                <w:sz w:val="18"/>
                <w:szCs w:val="18"/>
              </w:rPr>
              <w:t>5）上述文件出现更新时，按照更新后的版本执行。</w:t>
            </w:r>
          </w:p>
        </w:tc>
      </w:tr>
    </w:tbl>
    <w:p>
      <w:pPr>
        <w:adjustRightInd w:val="0"/>
        <w:snapToGrid w:val="0"/>
        <w:jc w:val="center"/>
        <w:rPr>
          <w:rFonts w:ascii="宋体"/>
          <w:color w:val="auto"/>
          <w:kern w:val="0"/>
          <w:szCs w:val="20"/>
        </w:rPr>
      </w:pPr>
    </w:p>
    <w:p>
      <w:pPr>
        <w:pStyle w:val="140"/>
        <w:numPr>
          <w:ilvl w:val="0"/>
          <w:numId w:val="0"/>
        </w:numPr>
        <w:rPr>
          <w:color w:val="auto"/>
        </w:rPr>
      </w:pPr>
      <w:r>
        <w:rPr>
          <w:rFonts w:hint="eastAsia"/>
          <w:color w:val="auto"/>
        </w:rPr>
        <w:t>表</w:t>
      </w:r>
      <w:r>
        <w:rPr>
          <w:rFonts w:hint="eastAsia"/>
          <w:color w:val="auto"/>
          <w:lang w:val="en-US" w:eastAsia="zh-CN"/>
        </w:rPr>
        <w:t>B</w:t>
      </w:r>
      <w:r>
        <w:rPr>
          <w:rFonts w:hint="eastAsia"/>
          <w:color w:val="auto"/>
        </w:rPr>
        <w:t>.2 常见碳酸盐原料排放因子</w:t>
      </w:r>
      <w:bookmarkStart w:id="150" w:name="pindex1029"/>
      <w:bookmarkEnd w:id="150"/>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85"/>
        <w:gridCol w:w="2087"/>
        <w:gridCol w:w="2282"/>
        <w:gridCol w:w="2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vAlign w:val="center"/>
          </w:tcPr>
          <w:p>
            <w:pPr>
              <w:pStyle w:val="26"/>
              <w:spacing w:line="288" w:lineRule="auto"/>
              <w:ind w:firstLine="0" w:firstLineChars="0"/>
              <w:jc w:val="center"/>
              <w:rPr>
                <w:color w:val="auto"/>
                <w:sz w:val="18"/>
                <w:szCs w:val="18"/>
              </w:rPr>
            </w:pPr>
            <w:r>
              <w:rPr>
                <w:rFonts w:hint="eastAsia"/>
                <w:color w:val="auto"/>
                <w:sz w:val="18"/>
                <w:szCs w:val="18"/>
              </w:rPr>
              <w:t>碳酸盐</w:t>
            </w:r>
          </w:p>
        </w:tc>
        <w:tc>
          <w:tcPr>
            <w:tcW w:w="2087" w:type="dxa"/>
            <w:vAlign w:val="center"/>
          </w:tcPr>
          <w:p>
            <w:pPr>
              <w:pStyle w:val="26"/>
              <w:spacing w:line="288" w:lineRule="auto"/>
              <w:ind w:firstLine="0" w:firstLineChars="0"/>
              <w:jc w:val="center"/>
              <w:rPr>
                <w:color w:val="auto"/>
                <w:sz w:val="18"/>
                <w:szCs w:val="18"/>
              </w:rPr>
            </w:pPr>
            <w:r>
              <w:rPr>
                <w:rFonts w:hint="eastAsia"/>
                <w:color w:val="auto"/>
                <w:sz w:val="18"/>
                <w:szCs w:val="18"/>
              </w:rPr>
              <w:t>矿石名称</w:t>
            </w:r>
          </w:p>
        </w:tc>
        <w:tc>
          <w:tcPr>
            <w:tcW w:w="2282" w:type="dxa"/>
            <w:vAlign w:val="center"/>
          </w:tcPr>
          <w:p>
            <w:pPr>
              <w:pStyle w:val="26"/>
              <w:spacing w:line="288" w:lineRule="auto"/>
              <w:ind w:firstLine="0" w:firstLineChars="0"/>
              <w:jc w:val="center"/>
              <w:rPr>
                <w:color w:val="auto"/>
                <w:sz w:val="18"/>
                <w:szCs w:val="18"/>
              </w:rPr>
            </w:pPr>
            <w:r>
              <w:rPr>
                <w:rFonts w:hint="eastAsia"/>
                <w:color w:val="auto"/>
                <w:sz w:val="18"/>
                <w:szCs w:val="18"/>
              </w:rPr>
              <w:t>相对分子量</w:t>
            </w:r>
          </w:p>
        </w:tc>
        <w:tc>
          <w:tcPr>
            <w:tcW w:w="2117" w:type="dxa"/>
            <w:vAlign w:val="center"/>
          </w:tcPr>
          <w:p>
            <w:pPr>
              <w:pStyle w:val="26"/>
              <w:spacing w:line="288" w:lineRule="auto"/>
              <w:ind w:firstLine="0" w:firstLineChars="0"/>
              <w:jc w:val="center"/>
              <w:rPr>
                <w:color w:val="auto"/>
                <w:sz w:val="18"/>
                <w:szCs w:val="18"/>
              </w:rPr>
            </w:pPr>
            <w:r>
              <w:rPr>
                <w:rFonts w:hint="eastAsia"/>
                <w:color w:val="auto"/>
                <w:sz w:val="18"/>
                <w:szCs w:val="18"/>
              </w:rPr>
              <w:t>建议采用排放因子</w:t>
            </w:r>
          </w:p>
          <w:p>
            <w:pPr>
              <w:pStyle w:val="26"/>
              <w:spacing w:line="288" w:lineRule="auto"/>
              <w:ind w:firstLine="0" w:firstLineChars="0"/>
              <w:jc w:val="center"/>
              <w:rPr>
                <w:color w:val="auto"/>
                <w:sz w:val="18"/>
                <w:szCs w:val="18"/>
              </w:rPr>
            </w:pPr>
            <w:r>
              <w:rPr>
                <w:rFonts w:hint="eastAsia"/>
                <w:color w:val="auto"/>
                <w:sz w:val="18"/>
                <w:szCs w:val="18"/>
              </w:rPr>
              <w:t>tCO</w:t>
            </w:r>
            <w:r>
              <w:rPr>
                <w:rFonts w:hint="eastAsia"/>
                <w:color w:val="auto"/>
                <w:sz w:val="18"/>
                <w:szCs w:val="18"/>
                <w:vertAlign w:val="subscript"/>
              </w:rPr>
              <w:t>2</w:t>
            </w:r>
            <w:r>
              <w:rPr>
                <w:rFonts w:hint="eastAsia"/>
                <w:color w:val="auto"/>
                <w:sz w:val="18"/>
                <w:szCs w:val="18"/>
              </w:rPr>
              <w:t>/t碳酸盐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pStyle w:val="26"/>
              <w:spacing w:line="288" w:lineRule="auto"/>
              <w:ind w:firstLine="0" w:firstLineChars="0"/>
              <w:jc w:val="center"/>
              <w:rPr>
                <w:color w:val="auto"/>
                <w:sz w:val="18"/>
                <w:szCs w:val="18"/>
              </w:rPr>
            </w:pPr>
            <w:r>
              <w:rPr>
                <w:color w:val="auto"/>
                <w:sz w:val="18"/>
                <w:szCs w:val="18"/>
              </w:rPr>
              <w:t>C</w:t>
            </w:r>
            <w:r>
              <w:rPr>
                <w:rFonts w:hint="eastAsia"/>
                <w:color w:val="auto"/>
                <w:sz w:val="18"/>
                <w:szCs w:val="18"/>
              </w:rPr>
              <w:t>aC</w:t>
            </w:r>
            <w:r>
              <w:rPr>
                <w:color w:val="auto"/>
                <w:sz w:val="18"/>
                <w:szCs w:val="18"/>
              </w:rPr>
              <w:t>O</w:t>
            </w:r>
            <w:r>
              <w:rPr>
                <w:color w:val="auto"/>
                <w:sz w:val="18"/>
                <w:szCs w:val="18"/>
                <w:vertAlign w:val="subscript"/>
              </w:rPr>
              <w:t>3</w:t>
            </w:r>
          </w:p>
        </w:tc>
        <w:tc>
          <w:tcPr>
            <w:tcW w:w="2087" w:type="dxa"/>
          </w:tcPr>
          <w:p>
            <w:pPr>
              <w:pStyle w:val="26"/>
              <w:spacing w:line="288" w:lineRule="auto"/>
              <w:ind w:firstLine="0" w:firstLineChars="0"/>
              <w:jc w:val="center"/>
              <w:rPr>
                <w:color w:val="auto"/>
                <w:sz w:val="18"/>
                <w:szCs w:val="18"/>
              </w:rPr>
            </w:pPr>
            <w:r>
              <w:rPr>
                <w:rFonts w:hint="eastAsia"/>
                <w:color w:val="auto"/>
                <w:sz w:val="18"/>
                <w:szCs w:val="18"/>
              </w:rPr>
              <w:t>方解石、石灰石</w:t>
            </w:r>
          </w:p>
        </w:tc>
        <w:tc>
          <w:tcPr>
            <w:tcW w:w="2282" w:type="dxa"/>
          </w:tcPr>
          <w:p>
            <w:pPr>
              <w:pStyle w:val="26"/>
              <w:spacing w:line="288" w:lineRule="auto"/>
              <w:ind w:firstLine="0" w:firstLineChars="0"/>
              <w:jc w:val="center"/>
              <w:rPr>
                <w:color w:val="auto"/>
                <w:sz w:val="18"/>
                <w:szCs w:val="18"/>
              </w:rPr>
            </w:pPr>
            <w:r>
              <w:rPr>
                <w:rFonts w:hint="eastAsia"/>
                <w:color w:val="auto"/>
                <w:sz w:val="18"/>
                <w:szCs w:val="18"/>
              </w:rPr>
              <w:t>100.0869</w:t>
            </w:r>
          </w:p>
        </w:tc>
        <w:tc>
          <w:tcPr>
            <w:tcW w:w="2117" w:type="dxa"/>
          </w:tcPr>
          <w:p>
            <w:pPr>
              <w:pStyle w:val="26"/>
              <w:spacing w:line="288" w:lineRule="auto"/>
              <w:ind w:firstLine="0" w:firstLineChars="0"/>
              <w:jc w:val="center"/>
              <w:rPr>
                <w:color w:val="auto"/>
                <w:sz w:val="18"/>
                <w:szCs w:val="18"/>
              </w:rPr>
            </w:pPr>
            <w:r>
              <w:rPr>
                <w:rFonts w:hint="eastAsia"/>
                <w:color w:val="auto"/>
                <w:sz w:val="18"/>
                <w:szCs w:val="18"/>
              </w:rPr>
              <w:t>0.43971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pStyle w:val="26"/>
              <w:spacing w:line="288" w:lineRule="auto"/>
              <w:ind w:firstLine="0" w:firstLineChars="0"/>
              <w:jc w:val="center"/>
              <w:rPr>
                <w:color w:val="auto"/>
                <w:sz w:val="18"/>
                <w:szCs w:val="18"/>
              </w:rPr>
            </w:pPr>
            <w:r>
              <w:rPr>
                <w:rFonts w:hint="eastAsia"/>
                <w:color w:val="auto"/>
                <w:sz w:val="18"/>
                <w:szCs w:val="18"/>
              </w:rPr>
              <w:t>Mg</w:t>
            </w:r>
            <w:r>
              <w:rPr>
                <w:color w:val="auto"/>
                <w:sz w:val="18"/>
                <w:szCs w:val="18"/>
              </w:rPr>
              <w:t>CO</w:t>
            </w:r>
            <w:r>
              <w:rPr>
                <w:color w:val="auto"/>
                <w:sz w:val="18"/>
                <w:szCs w:val="18"/>
                <w:vertAlign w:val="subscript"/>
              </w:rPr>
              <w:t>3</w:t>
            </w:r>
          </w:p>
        </w:tc>
        <w:tc>
          <w:tcPr>
            <w:tcW w:w="2087" w:type="dxa"/>
          </w:tcPr>
          <w:p>
            <w:pPr>
              <w:pStyle w:val="26"/>
              <w:spacing w:line="288" w:lineRule="auto"/>
              <w:ind w:firstLine="0" w:firstLineChars="0"/>
              <w:jc w:val="center"/>
              <w:rPr>
                <w:color w:val="auto"/>
                <w:sz w:val="18"/>
                <w:szCs w:val="18"/>
              </w:rPr>
            </w:pPr>
            <w:r>
              <w:rPr>
                <w:rFonts w:hint="eastAsia"/>
                <w:color w:val="auto"/>
                <w:sz w:val="18"/>
                <w:szCs w:val="18"/>
              </w:rPr>
              <w:t>菱镁石</w:t>
            </w:r>
          </w:p>
        </w:tc>
        <w:tc>
          <w:tcPr>
            <w:tcW w:w="2282" w:type="dxa"/>
          </w:tcPr>
          <w:p>
            <w:pPr>
              <w:pStyle w:val="26"/>
              <w:spacing w:line="288" w:lineRule="auto"/>
              <w:ind w:firstLine="0" w:firstLineChars="0"/>
              <w:jc w:val="center"/>
              <w:rPr>
                <w:color w:val="auto"/>
                <w:sz w:val="18"/>
                <w:szCs w:val="18"/>
              </w:rPr>
            </w:pPr>
            <w:r>
              <w:rPr>
                <w:rFonts w:hint="eastAsia"/>
                <w:color w:val="auto"/>
                <w:sz w:val="18"/>
                <w:szCs w:val="18"/>
              </w:rPr>
              <w:t>84.3139</w:t>
            </w:r>
          </w:p>
        </w:tc>
        <w:tc>
          <w:tcPr>
            <w:tcW w:w="2117" w:type="dxa"/>
          </w:tcPr>
          <w:p>
            <w:pPr>
              <w:pStyle w:val="26"/>
              <w:spacing w:line="288" w:lineRule="auto"/>
              <w:ind w:firstLine="0" w:firstLineChars="0"/>
              <w:jc w:val="center"/>
              <w:rPr>
                <w:color w:val="auto"/>
                <w:sz w:val="18"/>
                <w:szCs w:val="18"/>
              </w:rPr>
            </w:pPr>
            <w:r>
              <w:rPr>
                <w:rFonts w:hint="eastAsia"/>
                <w:color w:val="auto"/>
                <w:sz w:val="18"/>
                <w:szCs w:val="18"/>
              </w:rPr>
              <w:t>0.52197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pStyle w:val="26"/>
              <w:spacing w:line="288" w:lineRule="auto"/>
              <w:ind w:firstLine="0" w:firstLineChars="0"/>
              <w:jc w:val="center"/>
              <w:rPr>
                <w:color w:val="auto"/>
                <w:sz w:val="18"/>
                <w:szCs w:val="18"/>
              </w:rPr>
            </w:pPr>
            <w:r>
              <w:rPr>
                <w:rFonts w:hint="eastAsia"/>
                <w:color w:val="auto"/>
                <w:sz w:val="18"/>
                <w:szCs w:val="18"/>
              </w:rPr>
              <w:t>CaMg</w:t>
            </w:r>
            <w:sdt>
              <w:sdtPr>
                <w:rPr>
                  <w:color w:val="auto"/>
                  <w:sz w:val="18"/>
                  <w:szCs w:val="18"/>
                </w:rPr>
                <w:alias w:val="标点符号检查"/>
                <w:id w:val="1001542"/>
              </w:sdtPr>
              <w:sdtEndPr>
                <w:rPr>
                  <w:color w:val="auto"/>
                  <w:sz w:val="18"/>
                  <w:szCs w:val="18"/>
                </w:rPr>
              </w:sdtEndPr>
              <w:sdtContent>
                <w:bookmarkStart w:id="151" w:name="bkReivew1001542"/>
                <w:r>
                  <w:rPr>
                    <w:rFonts w:hint="eastAsia"/>
                    <w:color w:val="auto"/>
                    <w:sz w:val="18"/>
                    <w:szCs w:val="18"/>
                  </w:rPr>
                  <w:t>（</w:t>
                </w:r>
                <w:bookmarkEnd w:id="151"/>
              </w:sdtContent>
            </w:sdt>
            <w:r>
              <w:rPr>
                <w:color w:val="auto"/>
                <w:sz w:val="18"/>
                <w:szCs w:val="18"/>
              </w:rPr>
              <w:t>CO</w:t>
            </w:r>
            <w:r>
              <w:rPr>
                <w:color w:val="auto"/>
                <w:sz w:val="18"/>
                <w:szCs w:val="18"/>
                <w:vertAlign w:val="subscript"/>
              </w:rPr>
              <w:t>3</w:t>
            </w:r>
            <w:r>
              <w:rPr>
                <w:rFonts w:hint="eastAsia"/>
                <w:color w:val="auto"/>
                <w:sz w:val="18"/>
                <w:szCs w:val="18"/>
              </w:rPr>
              <w:t>）</w:t>
            </w:r>
            <w:r>
              <w:rPr>
                <w:rFonts w:hint="eastAsia"/>
                <w:color w:val="auto"/>
                <w:sz w:val="18"/>
                <w:szCs w:val="18"/>
                <w:vertAlign w:val="subscript"/>
              </w:rPr>
              <w:t>2</w:t>
            </w:r>
          </w:p>
        </w:tc>
        <w:tc>
          <w:tcPr>
            <w:tcW w:w="2087" w:type="dxa"/>
          </w:tcPr>
          <w:p>
            <w:pPr>
              <w:pStyle w:val="26"/>
              <w:spacing w:line="288" w:lineRule="auto"/>
              <w:ind w:firstLine="0" w:firstLineChars="0"/>
              <w:jc w:val="center"/>
              <w:rPr>
                <w:color w:val="auto"/>
                <w:sz w:val="18"/>
                <w:szCs w:val="18"/>
              </w:rPr>
            </w:pPr>
            <w:r>
              <w:rPr>
                <w:rFonts w:hint="eastAsia"/>
                <w:color w:val="auto"/>
                <w:sz w:val="18"/>
                <w:szCs w:val="18"/>
              </w:rPr>
              <w:t>白云石</w:t>
            </w:r>
          </w:p>
        </w:tc>
        <w:tc>
          <w:tcPr>
            <w:tcW w:w="2282" w:type="dxa"/>
          </w:tcPr>
          <w:p>
            <w:pPr>
              <w:pStyle w:val="26"/>
              <w:spacing w:line="288" w:lineRule="auto"/>
              <w:ind w:firstLine="0" w:firstLineChars="0"/>
              <w:jc w:val="center"/>
              <w:rPr>
                <w:color w:val="auto"/>
                <w:sz w:val="18"/>
                <w:szCs w:val="18"/>
              </w:rPr>
            </w:pPr>
            <w:r>
              <w:rPr>
                <w:rFonts w:hint="eastAsia"/>
                <w:color w:val="auto"/>
                <w:sz w:val="18"/>
                <w:szCs w:val="18"/>
              </w:rPr>
              <w:t>184.4008</w:t>
            </w:r>
          </w:p>
        </w:tc>
        <w:tc>
          <w:tcPr>
            <w:tcW w:w="2117" w:type="dxa"/>
          </w:tcPr>
          <w:p>
            <w:pPr>
              <w:pStyle w:val="26"/>
              <w:spacing w:line="288" w:lineRule="auto"/>
              <w:ind w:firstLine="0" w:firstLineChars="0"/>
              <w:jc w:val="center"/>
              <w:rPr>
                <w:color w:val="auto"/>
                <w:sz w:val="18"/>
                <w:szCs w:val="18"/>
              </w:rPr>
            </w:pPr>
            <w:r>
              <w:rPr>
                <w:rFonts w:hint="eastAsia"/>
                <w:color w:val="auto"/>
                <w:sz w:val="18"/>
                <w:szCs w:val="18"/>
              </w:rPr>
              <w:t>0.47732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pStyle w:val="26"/>
              <w:spacing w:line="288" w:lineRule="auto"/>
              <w:ind w:firstLine="0" w:firstLineChars="0"/>
              <w:jc w:val="center"/>
              <w:rPr>
                <w:color w:val="auto"/>
                <w:sz w:val="18"/>
                <w:szCs w:val="18"/>
              </w:rPr>
            </w:pPr>
            <w:r>
              <w:rPr>
                <w:rFonts w:hint="eastAsia"/>
                <w:color w:val="auto"/>
                <w:sz w:val="18"/>
                <w:szCs w:val="18"/>
              </w:rPr>
              <w:t>Na</w:t>
            </w:r>
            <w:r>
              <w:rPr>
                <w:rFonts w:hint="eastAsia"/>
                <w:color w:val="auto"/>
                <w:sz w:val="18"/>
                <w:szCs w:val="18"/>
                <w:vertAlign w:val="subscript"/>
              </w:rPr>
              <w:t>2</w:t>
            </w:r>
            <w:r>
              <w:rPr>
                <w:color w:val="auto"/>
                <w:sz w:val="18"/>
                <w:szCs w:val="18"/>
              </w:rPr>
              <w:t>CO</w:t>
            </w:r>
            <w:r>
              <w:rPr>
                <w:color w:val="auto"/>
                <w:sz w:val="18"/>
                <w:szCs w:val="18"/>
                <w:vertAlign w:val="subscript"/>
              </w:rPr>
              <w:t>3</w:t>
            </w:r>
          </w:p>
        </w:tc>
        <w:tc>
          <w:tcPr>
            <w:tcW w:w="2087" w:type="dxa"/>
          </w:tcPr>
          <w:p>
            <w:pPr>
              <w:pStyle w:val="26"/>
              <w:spacing w:line="288" w:lineRule="auto"/>
              <w:ind w:firstLine="0" w:firstLineChars="0"/>
              <w:jc w:val="center"/>
              <w:rPr>
                <w:color w:val="auto"/>
                <w:sz w:val="18"/>
                <w:szCs w:val="18"/>
              </w:rPr>
            </w:pPr>
            <w:r>
              <w:rPr>
                <w:rFonts w:hint="eastAsia"/>
                <w:color w:val="auto"/>
                <w:sz w:val="18"/>
                <w:szCs w:val="18"/>
              </w:rPr>
              <w:t>碳酸钠或纯碱</w:t>
            </w:r>
          </w:p>
        </w:tc>
        <w:tc>
          <w:tcPr>
            <w:tcW w:w="2282" w:type="dxa"/>
          </w:tcPr>
          <w:p>
            <w:pPr>
              <w:pStyle w:val="26"/>
              <w:spacing w:line="288" w:lineRule="auto"/>
              <w:ind w:firstLine="0" w:firstLineChars="0"/>
              <w:jc w:val="center"/>
              <w:rPr>
                <w:color w:val="auto"/>
                <w:sz w:val="18"/>
                <w:szCs w:val="18"/>
              </w:rPr>
            </w:pPr>
            <w:r>
              <w:rPr>
                <w:rFonts w:hint="eastAsia"/>
                <w:color w:val="auto"/>
                <w:sz w:val="18"/>
                <w:szCs w:val="18"/>
              </w:rPr>
              <w:t>106.0685</w:t>
            </w:r>
          </w:p>
        </w:tc>
        <w:tc>
          <w:tcPr>
            <w:tcW w:w="2117" w:type="dxa"/>
          </w:tcPr>
          <w:p>
            <w:pPr>
              <w:pStyle w:val="26"/>
              <w:spacing w:line="288" w:lineRule="auto"/>
              <w:ind w:firstLine="0" w:firstLineChars="0"/>
              <w:jc w:val="center"/>
              <w:rPr>
                <w:color w:val="auto"/>
                <w:sz w:val="18"/>
                <w:szCs w:val="18"/>
              </w:rPr>
            </w:pPr>
            <w:r>
              <w:rPr>
                <w:rFonts w:hint="eastAsia"/>
                <w:color w:val="auto"/>
                <w:sz w:val="18"/>
                <w:szCs w:val="18"/>
              </w:rPr>
              <w:t>0.41492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4"/>
          </w:tcPr>
          <w:p>
            <w:pPr>
              <w:pStyle w:val="26"/>
              <w:spacing w:line="288" w:lineRule="auto"/>
              <w:ind w:firstLine="0" w:firstLineChars="0"/>
              <w:rPr>
                <w:color w:val="auto"/>
                <w:sz w:val="18"/>
                <w:szCs w:val="18"/>
              </w:rPr>
            </w:pPr>
            <w:r>
              <w:rPr>
                <w:rFonts w:hint="eastAsia"/>
                <w:color w:val="auto"/>
                <w:sz w:val="18"/>
                <w:szCs w:val="18"/>
              </w:rPr>
              <w:t>备注：1）数据来源为</w:t>
            </w:r>
            <w:r>
              <w:rPr>
                <w:color w:val="auto"/>
                <w:sz w:val="18"/>
                <w:szCs w:val="18"/>
              </w:rPr>
              <w:t>CRC</w:t>
            </w:r>
            <w:r>
              <w:rPr>
                <w:rFonts w:hint="eastAsia"/>
                <w:color w:val="auto"/>
                <w:sz w:val="18"/>
                <w:szCs w:val="18"/>
              </w:rPr>
              <w:t>化学物理手册（2004）和《IPCC 2006年国家温室气体清单指南》。</w:t>
            </w:r>
          </w:p>
          <w:p>
            <w:pPr>
              <w:pStyle w:val="26"/>
              <w:spacing w:line="288" w:lineRule="auto"/>
              <w:ind w:firstLine="547" w:firstLineChars="304"/>
              <w:rPr>
                <w:color w:val="auto"/>
                <w:sz w:val="18"/>
                <w:szCs w:val="18"/>
              </w:rPr>
            </w:pPr>
            <w:r>
              <w:rPr>
                <w:rFonts w:hint="eastAsia"/>
                <w:color w:val="auto"/>
                <w:sz w:val="18"/>
                <w:szCs w:val="18"/>
              </w:rPr>
              <w:t>2）由于不同供应商间的碳酸盐原料纯度存在差异，故应优先采用供应商提供的数据，其次选用</w:t>
            </w:r>
            <w:sdt>
              <w:sdtPr>
                <w:rPr>
                  <w:color w:val="auto"/>
                  <w:sz w:val="18"/>
                  <w:szCs w:val="18"/>
                </w:rPr>
                <w:alias w:val="非推荐词"/>
                <w:id w:val="1180112"/>
              </w:sdtPr>
              <w:sdtEndPr>
                <w:rPr>
                  <w:color w:val="auto"/>
                  <w:sz w:val="18"/>
                  <w:szCs w:val="18"/>
                </w:rPr>
              </w:sdtEndPr>
              <w:sdtContent>
                <w:r>
                  <w:rPr>
                    <w:rFonts w:hint="eastAsia"/>
                    <w:color w:val="auto"/>
                    <w:sz w:val="18"/>
                    <w:szCs w:val="18"/>
                  </w:rPr>
                  <w:t>其他</w:t>
                </w:r>
              </w:sdtContent>
            </w:sdt>
            <w:r>
              <w:rPr>
                <w:rFonts w:hint="eastAsia"/>
                <w:color w:val="auto"/>
                <w:sz w:val="18"/>
                <w:szCs w:val="18"/>
              </w:rPr>
              <w:t>数据库数据和建议采用排放因子。</w:t>
            </w:r>
          </w:p>
        </w:tc>
      </w:tr>
    </w:tbl>
    <w:p>
      <w:pPr>
        <w:adjustRightInd w:val="0"/>
        <w:snapToGrid w:val="0"/>
        <w:jc w:val="center"/>
        <w:rPr>
          <w:rFonts w:ascii="宋体"/>
          <w:color w:val="auto"/>
          <w:kern w:val="0"/>
          <w:szCs w:val="20"/>
        </w:rPr>
      </w:pPr>
    </w:p>
    <w:p>
      <w:pPr>
        <w:adjustRightInd w:val="0"/>
        <w:snapToGrid w:val="0"/>
        <w:ind w:firstLine="420" w:firstLineChars="200"/>
        <w:rPr>
          <w:rFonts w:ascii="宋体"/>
          <w:color w:val="auto"/>
          <w:kern w:val="0"/>
          <w:szCs w:val="20"/>
        </w:rPr>
      </w:pPr>
    </w:p>
    <w:bookmarkEnd w:id="4"/>
    <w:p>
      <w:pPr>
        <w:adjustRightInd/>
        <w:snapToGrid/>
        <w:ind w:firstLine="0" w:firstLineChars="0"/>
        <w:rPr>
          <w:rFonts w:ascii="宋体"/>
          <w:b/>
          <w:bCs/>
          <w:color w:val="auto"/>
          <w:kern w:val="0"/>
          <w:szCs w:val="20"/>
        </w:rPr>
        <w:sectPr>
          <w:headerReference r:id="rId9" w:type="default"/>
          <w:footerReference r:id="rId10" w:type="default"/>
          <w:footerReference r:id="rId11" w:type="even"/>
          <w:pgSz w:w="11906" w:h="16838"/>
          <w:pgMar w:top="2409" w:right="1134" w:bottom="1134" w:left="1134" w:header="1418" w:footer="1134" w:gutter="0"/>
          <w:pgNumType w:fmt="decimal" w:start="1"/>
          <w:cols w:space="720" w:num="1"/>
          <w:formProt w:val="0"/>
          <w:docGrid w:type="lines" w:linePitch="312" w:charSpace="0"/>
        </w:sectPr>
      </w:pPr>
    </w:p>
    <w:p>
      <w:pPr>
        <w:pStyle w:val="171"/>
        <w:bidi w:val="0"/>
        <w:rPr>
          <w:rFonts w:hint="eastAsia"/>
          <w:lang w:val="en-US" w:eastAsia="zh-CN"/>
        </w:rPr>
      </w:pPr>
      <w:bookmarkStart w:id="152" w:name="_Toc12809"/>
      <w:r>
        <w:rPr>
          <w:rFonts w:hint="eastAsia"/>
          <w:lang w:val="en-US" w:eastAsia="zh-CN"/>
        </w:rPr>
        <w:br w:type="textWrapping"/>
      </w:r>
      <w:r>
        <w:rPr>
          <w:rFonts w:hint="eastAsia"/>
        </w:rPr>
        <w:t>（资料性）</w:t>
      </w:r>
      <w:r>
        <w:rPr>
          <w:rFonts w:hint="eastAsia"/>
        </w:rPr>
        <w:br w:type="textWrapping"/>
      </w:r>
      <w:r>
        <w:rPr>
          <w:rFonts w:hint="eastAsia"/>
          <w:lang w:val="en-US" w:eastAsia="zh-CN"/>
        </w:rPr>
        <w:t>数据质量控制计划模板</w:t>
      </w:r>
      <w:bookmarkEnd w:id="152"/>
    </w:p>
    <w:p>
      <w:pPr>
        <w:pStyle w:val="26"/>
        <w:rPr>
          <w:rFonts w:hint="eastAsia" w:cs="Times New Roman"/>
          <w:color w:val="auto"/>
          <w:lang w:val="en-US" w:eastAsia="zh-CN"/>
        </w:rPr>
      </w:pPr>
    </w:p>
    <w:p>
      <w:pPr>
        <w:widowControl/>
        <w:spacing w:before="156" w:beforeLines="50"/>
        <w:jc w:val="center"/>
        <w:rPr>
          <w:rFonts w:ascii="宋体" w:hAnsi="宋体"/>
          <w:kern w:val="0"/>
          <w:sz w:val="24"/>
          <w:u w:val="single"/>
        </w:rPr>
      </w:pPr>
      <w:r>
        <w:rPr>
          <w:rFonts w:ascii="宋体" w:hAnsi="宋体"/>
          <w:kern w:val="0"/>
          <w:sz w:val="24"/>
          <w:u w:val="single"/>
        </w:rPr>
        <w:t>****</w:t>
      </w:r>
      <w:r>
        <w:rPr>
          <w:rFonts w:hint="eastAsia" w:ascii="宋体" w:hAnsi="宋体"/>
          <w:kern w:val="0"/>
          <w:sz w:val="24"/>
          <w:u w:val="single"/>
        </w:rPr>
        <w:t>企业（或者其他经济组织）</w:t>
      </w:r>
      <w:r>
        <w:rPr>
          <w:rFonts w:ascii="宋体" w:hAnsi="宋体"/>
          <w:kern w:val="0"/>
          <w:sz w:val="24"/>
          <w:u w:val="single"/>
        </w:rPr>
        <w:t>名称</w:t>
      </w:r>
    </w:p>
    <w:p>
      <w:pPr>
        <w:widowControl/>
        <w:spacing w:before="156" w:beforeLines="50"/>
        <w:jc w:val="center"/>
        <w:rPr>
          <w:rFonts w:ascii="宋体" w:hAnsi="宋体"/>
          <w:kern w:val="0"/>
          <w:sz w:val="24"/>
        </w:rPr>
      </w:pPr>
      <w:r>
        <w:rPr>
          <w:rFonts w:hint="eastAsia" w:ascii="宋体" w:hAnsi="宋体"/>
          <w:kern w:val="0"/>
          <w:sz w:val="24"/>
        </w:rPr>
        <w:t>碳</w:t>
      </w:r>
      <w:r>
        <w:rPr>
          <w:rFonts w:ascii="宋体" w:hAnsi="宋体"/>
          <w:kern w:val="0"/>
          <w:sz w:val="24"/>
        </w:rPr>
        <w:t>排放</w:t>
      </w:r>
      <w:r>
        <w:rPr>
          <w:rFonts w:hint="eastAsia" w:ascii="宋体" w:hAnsi="宋体"/>
          <w:kern w:val="0"/>
          <w:sz w:val="24"/>
        </w:rPr>
        <w:t>数据质量控制计划</w:t>
      </w:r>
    </w:p>
    <w:tbl>
      <w:tblPr>
        <w:tblStyle w:val="3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3"/>
        <w:gridCol w:w="2876"/>
        <w:gridCol w:w="2083"/>
        <w:gridCol w:w="327"/>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39" w:type="dxa"/>
            <w:gridSpan w:val="5"/>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tcPr>
          <w:p>
            <w:pPr>
              <w:widowControl/>
              <w:jc w:val="left"/>
              <w:rPr>
                <w:kern w:val="0"/>
                <w:sz w:val="18"/>
                <w:szCs w:val="18"/>
              </w:rPr>
            </w:pPr>
            <w:r>
              <w:rPr>
                <w:kern w:val="0"/>
                <w:sz w:val="18"/>
                <w:szCs w:val="18"/>
              </w:rPr>
              <w:t xml:space="preserve">A </w:t>
            </w:r>
            <w:r>
              <w:rPr>
                <w:rFonts w:hint="eastAsia"/>
                <w:kern w:val="0"/>
                <w:sz w:val="18"/>
                <w:szCs w:val="18"/>
              </w:rPr>
              <w:t>数据质量控制计划的版本及修订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adjustRightInd w:val="0"/>
              <w:snapToGrid w:val="0"/>
              <w:spacing w:line="240" w:lineRule="exact"/>
              <w:jc w:val="center"/>
              <w:rPr>
                <w:kern w:val="0"/>
                <w:sz w:val="18"/>
                <w:szCs w:val="18"/>
              </w:rPr>
            </w:pPr>
            <w:r>
              <w:rPr>
                <w:rFonts w:hint="eastAsia"/>
                <w:kern w:val="0"/>
                <w:sz w:val="18"/>
                <w:szCs w:val="18"/>
              </w:rPr>
              <w:t>版本号</w:t>
            </w:r>
          </w:p>
        </w:tc>
        <w:tc>
          <w:tcPr>
            <w:tcW w:w="287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r>
              <w:rPr>
                <w:rFonts w:hint="eastAsia"/>
                <w:kern w:val="0"/>
                <w:sz w:val="18"/>
                <w:szCs w:val="18"/>
              </w:rPr>
              <w:t>修订（发布）时间</w:t>
            </w:r>
          </w:p>
        </w:tc>
        <w:tc>
          <w:tcPr>
            <w:tcW w:w="208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r>
              <w:rPr>
                <w:rFonts w:hint="eastAsia"/>
                <w:kern w:val="0"/>
                <w:sz w:val="18"/>
                <w:szCs w:val="18"/>
              </w:rPr>
              <w:t>修订（发布）原因</w:t>
            </w:r>
          </w:p>
        </w:tc>
        <w:tc>
          <w:tcPr>
            <w:tcW w:w="2737"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r>
              <w:rPr>
                <w:rFonts w:hint="eastAsia"/>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jc w:val="left"/>
              <w:rPr>
                <w:sz w:val="18"/>
                <w:szCs w:val="18"/>
              </w:rPr>
            </w:pPr>
          </w:p>
        </w:tc>
        <w:tc>
          <w:tcPr>
            <w:tcW w:w="287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p>
        </w:tc>
        <w:tc>
          <w:tcPr>
            <w:tcW w:w="208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jc w:val="left"/>
              <w:rPr>
                <w:sz w:val="18"/>
                <w:szCs w:val="18"/>
              </w:rPr>
            </w:pPr>
          </w:p>
        </w:tc>
        <w:tc>
          <w:tcPr>
            <w:tcW w:w="2737"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jc w:val="left"/>
              <w:rPr>
                <w:sz w:val="18"/>
                <w:szCs w:val="18"/>
              </w:rPr>
            </w:pPr>
          </w:p>
        </w:tc>
        <w:tc>
          <w:tcPr>
            <w:tcW w:w="287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p>
        </w:tc>
        <w:tc>
          <w:tcPr>
            <w:tcW w:w="208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jc w:val="left"/>
              <w:rPr>
                <w:sz w:val="18"/>
                <w:szCs w:val="18"/>
              </w:rPr>
            </w:pPr>
          </w:p>
        </w:tc>
        <w:tc>
          <w:tcPr>
            <w:tcW w:w="2737"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jc w:val="left"/>
              <w:rPr>
                <w:sz w:val="18"/>
                <w:szCs w:val="18"/>
              </w:rPr>
            </w:pPr>
          </w:p>
        </w:tc>
        <w:tc>
          <w:tcPr>
            <w:tcW w:w="287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p>
        </w:tc>
        <w:tc>
          <w:tcPr>
            <w:tcW w:w="208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jc w:val="left"/>
              <w:rPr>
                <w:sz w:val="18"/>
                <w:szCs w:val="18"/>
              </w:rPr>
            </w:pPr>
          </w:p>
        </w:tc>
        <w:tc>
          <w:tcPr>
            <w:tcW w:w="2737"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39" w:type="dxa"/>
            <w:gridSpan w:val="5"/>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tcPr>
          <w:p>
            <w:pPr>
              <w:widowControl/>
              <w:jc w:val="left"/>
              <w:rPr>
                <w:kern w:val="0"/>
                <w:sz w:val="18"/>
                <w:szCs w:val="18"/>
              </w:rPr>
            </w:pPr>
            <w:r>
              <w:rPr>
                <w:kern w:val="0"/>
                <w:sz w:val="18"/>
                <w:szCs w:val="18"/>
              </w:rPr>
              <w:t xml:space="preserve">B </w:t>
            </w:r>
            <w:r>
              <w:rPr>
                <w:rFonts w:hint="eastAsia"/>
                <w:kern w:val="0"/>
                <w:sz w:val="18"/>
                <w:szCs w:val="18"/>
              </w:rPr>
              <w:t>报告主体描述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adjustRightInd w:val="0"/>
              <w:snapToGrid w:val="0"/>
              <w:spacing w:line="240" w:lineRule="exact"/>
              <w:jc w:val="center"/>
              <w:rPr>
                <w:kern w:val="0"/>
                <w:sz w:val="18"/>
                <w:szCs w:val="18"/>
              </w:rPr>
            </w:pPr>
            <w:r>
              <w:rPr>
                <w:rFonts w:hint="eastAsia"/>
                <w:kern w:val="0"/>
                <w:sz w:val="18"/>
                <w:szCs w:val="18"/>
              </w:rPr>
              <w:t>企业（或者其他经济组织）名称</w:t>
            </w:r>
          </w:p>
        </w:tc>
        <w:tc>
          <w:tcPr>
            <w:tcW w:w="7696"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adjustRightInd w:val="0"/>
              <w:snapToGrid w:val="0"/>
              <w:spacing w:line="240" w:lineRule="exact"/>
              <w:jc w:val="center"/>
              <w:rPr>
                <w:kern w:val="0"/>
                <w:sz w:val="18"/>
                <w:szCs w:val="18"/>
              </w:rPr>
            </w:pPr>
            <w:r>
              <w:rPr>
                <w:rFonts w:hint="eastAsia"/>
                <w:kern w:val="0"/>
                <w:sz w:val="18"/>
                <w:szCs w:val="18"/>
              </w:rPr>
              <w:t>地址</w:t>
            </w:r>
          </w:p>
        </w:tc>
        <w:tc>
          <w:tcPr>
            <w:tcW w:w="7696"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adjustRightInd w:val="0"/>
              <w:snapToGrid w:val="0"/>
              <w:spacing w:line="240" w:lineRule="exact"/>
              <w:jc w:val="center"/>
              <w:rPr>
                <w:kern w:val="0"/>
                <w:sz w:val="18"/>
                <w:szCs w:val="18"/>
              </w:rPr>
            </w:pPr>
            <w:r>
              <w:rPr>
                <w:rFonts w:hint="eastAsia"/>
                <w:kern w:val="0"/>
                <w:sz w:val="18"/>
                <w:szCs w:val="18"/>
              </w:rPr>
              <w:t>统一社会信用代码（组织机构代码）</w:t>
            </w:r>
          </w:p>
        </w:tc>
        <w:tc>
          <w:tcPr>
            <w:tcW w:w="287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p>
        </w:tc>
        <w:tc>
          <w:tcPr>
            <w:tcW w:w="208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r>
              <w:rPr>
                <w:rFonts w:hint="eastAsia"/>
                <w:kern w:val="0"/>
                <w:sz w:val="18"/>
                <w:szCs w:val="18"/>
              </w:rPr>
              <w:t>行业分类</w:t>
            </w:r>
          </w:p>
        </w:tc>
        <w:tc>
          <w:tcPr>
            <w:tcW w:w="2737"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r>
              <w:rPr>
                <w:rFonts w:hint="eastAsia"/>
                <w:kern w:val="0"/>
                <w:sz w:val="18"/>
                <w:szCs w:val="18"/>
              </w:rPr>
              <w:t>法定代表人</w:t>
            </w:r>
          </w:p>
        </w:tc>
        <w:tc>
          <w:tcPr>
            <w:tcW w:w="287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left"/>
              <w:rPr>
                <w:kern w:val="0"/>
                <w:sz w:val="18"/>
                <w:szCs w:val="18"/>
              </w:rPr>
            </w:pPr>
            <w:r>
              <w:rPr>
                <w:rFonts w:hint="eastAsia"/>
                <w:kern w:val="0"/>
                <w:sz w:val="18"/>
                <w:szCs w:val="18"/>
              </w:rPr>
              <w:t>姓名：</w:t>
            </w:r>
          </w:p>
        </w:tc>
        <w:tc>
          <w:tcPr>
            <w:tcW w:w="4820"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jc w:val="left"/>
              <w:rPr>
                <w:kern w:val="0"/>
                <w:sz w:val="18"/>
                <w:szCs w:val="18"/>
              </w:rPr>
            </w:pPr>
            <w:r>
              <w:rPr>
                <w:rFonts w:hint="eastAsia"/>
                <w:kern w:val="0"/>
                <w:sz w:val="18"/>
                <w:szCs w:val="18"/>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r>
              <w:rPr>
                <w:rFonts w:hint="eastAsia"/>
                <w:kern w:val="0"/>
                <w:sz w:val="18"/>
                <w:szCs w:val="18"/>
              </w:rPr>
              <w:t>数据质量控制计划制定人</w:t>
            </w:r>
          </w:p>
        </w:tc>
        <w:tc>
          <w:tcPr>
            <w:tcW w:w="287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left"/>
              <w:rPr>
                <w:kern w:val="0"/>
                <w:sz w:val="18"/>
                <w:szCs w:val="18"/>
              </w:rPr>
            </w:pPr>
            <w:r>
              <w:rPr>
                <w:rFonts w:hint="eastAsia"/>
                <w:kern w:val="0"/>
                <w:sz w:val="18"/>
                <w:szCs w:val="18"/>
              </w:rPr>
              <w:t>姓名：</w:t>
            </w:r>
          </w:p>
        </w:tc>
        <w:tc>
          <w:tcPr>
            <w:tcW w:w="241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jc w:val="left"/>
              <w:rPr>
                <w:kern w:val="0"/>
                <w:sz w:val="18"/>
                <w:szCs w:val="18"/>
              </w:rPr>
            </w:pPr>
            <w:r>
              <w:rPr>
                <w:rFonts w:hint="eastAsia"/>
                <w:kern w:val="0"/>
                <w:sz w:val="18"/>
                <w:szCs w:val="18"/>
              </w:rPr>
              <w:t>电话：</w:t>
            </w:r>
          </w:p>
        </w:tc>
        <w:tc>
          <w:tcPr>
            <w:tcW w:w="241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jc w:val="left"/>
              <w:rPr>
                <w:kern w:val="0"/>
                <w:sz w:val="18"/>
                <w:szCs w:val="18"/>
              </w:rPr>
            </w:pPr>
            <w:r>
              <w:rPr>
                <w:rFonts w:hint="eastAsia"/>
                <w:kern w:val="0"/>
                <w:sz w:val="18"/>
                <w:szCs w:val="18"/>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1" w:hRule="atLeast"/>
          <w:jc w:val="center"/>
        </w:trPr>
        <w:tc>
          <w:tcPr>
            <w:tcW w:w="9639" w:type="dxa"/>
            <w:gridSpan w:val="5"/>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jc w:val="center"/>
              <w:rPr>
                <w:kern w:val="0"/>
                <w:sz w:val="18"/>
                <w:szCs w:val="18"/>
              </w:rPr>
            </w:pPr>
            <w:r>
              <w:rPr>
                <w:rFonts w:hint="eastAsia"/>
                <w:kern w:val="0"/>
                <w:sz w:val="18"/>
                <w:szCs w:val="18"/>
              </w:rPr>
              <w:t>报告主体简介</w:t>
            </w:r>
          </w:p>
          <w:p>
            <w:pPr>
              <w:widowControl/>
              <w:adjustRightInd w:val="0"/>
              <w:snapToGrid w:val="0"/>
              <w:spacing w:line="240" w:lineRule="exact"/>
              <w:jc w:val="left"/>
              <w:rPr>
                <w:kern w:val="0"/>
                <w:sz w:val="18"/>
                <w:szCs w:val="18"/>
              </w:rPr>
            </w:pPr>
          </w:p>
          <w:p>
            <w:pPr>
              <w:widowControl/>
              <w:numPr>
                <w:ilvl w:val="0"/>
                <w:numId w:val="26"/>
              </w:numPr>
              <w:adjustRightInd w:val="0"/>
              <w:snapToGrid w:val="0"/>
              <w:spacing w:line="240" w:lineRule="exact"/>
              <w:ind w:left="210" w:leftChars="100"/>
              <w:jc w:val="left"/>
              <w:rPr>
                <w:kern w:val="0"/>
                <w:sz w:val="18"/>
                <w:szCs w:val="18"/>
              </w:rPr>
            </w:pPr>
            <w:r>
              <w:rPr>
                <w:rFonts w:hint="eastAsia"/>
                <w:kern w:val="0"/>
                <w:sz w:val="18"/>
                <w:szCs w:val="18"/>
              </w:rPr>
              <w:t>单位简介</w:t>
            </w:r>
          </w:p>
          <w:p>
            <w:pPr>
              <w:widowControl/>
              <w:adjustRightInd w:val="0"/>
              <w:snapToGrid w:val="0"/>
              <w:spacing w:line="240" w:lineRule="exact"/>
              <w:ind w:left="630"/>
              <w:contextualSpacing/>
              <w:jc w:val="left"/>
              <w:rPr>
                <w:kern w:val="0"/>
                <w:sz w:val="18"/>
                <w:szCs w:val="18"/>
              </w:rPr>
            </w:pPr>
            <w:r>
              <w:rPr>
                <w:rFonts w:hint="eastAsia"/>
                <w:kern w:val="0"/>
                <w:sz w:val="18"/>
                <w:szCs w:val="18"/>
              </w:rPr>
              <w:t>（至少包括：成立时间、所有权状况、法定代表人、组织机构图和厂区平面分布图）</w:t>
            </w:r>
          </w:p>
          <w:p>
            <w:pPr>
              <w:widowControl/>
              <w:adjustRightInd w:val="0"/>
              <w:snapToGrid w:val="0"/>
              <w:spacing w:line="240" w:lineRule="exact"/>
              <w:jc w:val="left"/>
              <w:rPr>
                <w:kern w:val="0"/>
                <w:sz w:val="18"/>
                <w:szCs w:val="18"/>
              </w:rPr>
            </w:pPr>
          </w:p>
          <w:p>
            <w:pPr>
              <w:widowControl/>
              <w:adjustRightInd w:val="0"/>
              <w:snapToGrid w:val="0"/>
              <w:spacing w:line="240" w:lineRule="exact"/>
              <w:ind w:left="210" w:leftChars="100"/>
              <w:jc w:val="left"/>
              <w:rPr>
                <w:kern w:val="0"/>
                <w:sz w:val="18"/>
                <w:szCs w:val="18"/>
              </w:rPr>
            </w:pPr>
          </w:p>
          <w:p>
            <w:pPr>
              <w:widowControl/>
              <w:adjustRightInd w:val="0"/>
              <w:snapToGrid w:val="0"/>
              <w:spacing w:line="240" w:lineRule="exact"/>
              <w:ind w:left="210" w:leftChars="100"/>
              <w:jc w:val="left"/>
              <w:rPr>
                <w:kern w:val="0"/>
                <w:sz w:val="18"/>
                <w:szCs w:val="18"/>
              </w:rPr>
            </w:pPr>
          </w:p>
          <w:p>
            <w:pPr>
              <w:widowControl/>
              <w:numPr>
                <w:ilvl w:val="0"/>
                <w:numId w:val="26"/>
              </w:numPr>
              <w:adjustRightInd w:val="0"/>
              <w:snapToGrid w:val="0"/>
              <w:spacing w:line="240" w:lineRule="exact"/>
              <w:ind w:left="210" w:leftChars="100"/>
              <w:jc w:val="left"/>
              <w:rPr>
                <w:kern w:val="0"/>
                <w:sz w:val="18"/>
                <w:szCs w:val="18"/>
              </w:rPr>
            </w:pPr>
            <w:r>
              <w:rPr>
                <w:rFonts w:hint="eastAsia"/>
                <w:kern w:val="0"/>
                <w:sz w:val="18"/>
                <w:szCs w:val="18"/>
              </w:rPr>
              <w:t>主营产品</w:t>
            </w:r>
          </w:p>
          <w:p>
            <w:pPr>
              <w:widowControl/>
              <w:adjustRightInd w:val="0"/>
              <w:snapToGrid w:val="0"/>
              <w:spacing w:line="240" w:lineRule="exact"/>
              <w:ind w:left="630"/>
              <w:contextualSpacing/>
              <w:jc w:val="left"/>
              <w:rPr>
                <w:kern w:val="0"/>
                <w:sz w:val="18"/>
                <w:szCs w:val="18"/>
              </w:rPr>
            </w:pPr>
            <w:r>
              <w:rPr>
                <w:rFonts w:hint="eastAsia"/>
                <w:kern w:val="0"/>
                <w:sz w:val="18"/>
                <w:szCs w:val="18"/>
              </w:rPr>
              <w:t>（至少包括：主营产品的名称及产品代码）</w:t>
            </w:r>
          </w:p>
          <w:p>
            <w:pPr>
              <w:widowControl/>
              <w:adjustRightInd w:val="0"/>
              <w:snapToGrid w:val="0"/>
              <w:spacing w:line="240" w:lineRule="exact"/>
              <w:jc w:val="left"/>
              <w:rPr>
                <w:kern w:val="0"/>
                <w:sz w:val="18"/>
                <w:szCs w:val="18"/>
              </w:rPr>
            </w:pPr>
          </w:p>
          <w:p>
            <w:pPr>
              <w:widowControl/>
              <w:adjustRightInd w:val="0"/>
              <w:snapToGrid w:val="0"/>
              <w:spacing w:line="240" w:lineRule="exact"/>
              <w:ind w:left="210" w:leftChars="100"/>
              <w:jc w:val="left"/>
              <w:rPr>
                <w:kern w:val="0"/>
                <w:sz w:val="18"/>
                <w:szCs w:val="18"/>
              </w:rPr>
            </w:pPr>
          </w:p>
          <w:p>
            <w:pPr>
              <w:widowControl/>
              <w:adjustRightInd w:val="0"/>
              <w:snapToGrid w:val="0"/>
              <w:spacing w:line="240" w:lineRule="exact"/>
              <w:ind w:left="210" w:leftChars="100"/>
              <w:jc w:val="left"/>
              <w:rPr>
                <w:kern w:val="0"/>
                <w:sz w:val="18"/>
                <w:szCs w:val="18"/>
              </w:rPr>
            </w:pPr>
          </w:p>
          <w:p>
            <w:pPr>
              <w:widowControl/>
              <w:numPr>
                <w:ilvl w:val="0"/>
                <w:numId w:val="26"/>
              </w:numPr>
              <w:adjustRightInd w:val="0"/>
              <w:snapToGrid w:val="0"/>
              <w:spacing w:line="240" w:lineRule="exact"/>
              <w:ind w:left="210" w:leftChars="100"/>
              <w:jc w:val="left"/>
              <w:rPr>
                <w:kern w:val="0"/>
                <w:sz w:val="18"/>
                <w:szCs w:val="18"/>
              </w:rPr>
            </w:pPr>
            <w:r>
              <w:rPr>
                <w:rFonts w:hint="eastAsia"/>
                <w:kern w:val="0"/>
                <w:sz w:val="18"/>
                <w:szCs w:val="18"/>
              </w:rPr>
              <w:t>主营产品及生产工艺</w:t>
            </w:r>
          </w:p>
          <w:p>
            <w:pPr>
              <w:widowControl/>
              <w:adjustRightInd w:val="0"/>
              <w:snapToGrid w:val="0"/>
              <w:spacing w:line="240" w:lineRule="exact"/>
              <w:ind w:firstLine="360" w:firstLineChars="200"/>
              <w:contextualSpacing/>
              <w:jc w:val="left"/>
              <w:rPr>
                <w:kern w:val="0"/>
                <w:sz w:val="18"/>
                <w:szCs w:val="18"/>
              </w:rPr>
            </w:pPr>
            <w:r>
              <w:rPr>
                <w:rFonts w:hint="eastAsia"/>
                <w:kern w:val="0"/>
                <w:sz w:val="18"/>
                <w:szCs w:val="18"/>
              </w:rPr>
              <w:t>（至少包括：每种产品的生产工艺流程图及工艺流程描述，并在图中标明碳排放设施，对于涉及化学反应的工艺需写明化学反应方程式）</w:t>
            </w:r>
          </w:p>
          <w:p>
            <w:pPr>
              <w:widowControl/>
              <w:adjustRightInd w:val="0"/>
              <w:snapToGrid w:val="0"/>
              <w:spacing w:line="240" w:lineRule="exact"/>
              <w:jc w:val="left"/>
              <w:rPr>
                <w:kern w:val="0"/>
                <w:sz w:val="18"/>
                <w:szCs w:val="18"/>
              </w:rPr>
            </w:pPr>
          </w:p>
          <w:p>
            <w:pPr>
              <w:widowControl/>
              <w:adjustRightInd w:val="0"/>
              <w:snapToGrid w:val="0"/>
              <w:spacing w:line="240" w:lineRule="exact"/>
              <w:jc w:val="left"/>
              <w:rPr>
                <w:kern w:val="0"/>
                <w:sz w:val="18"/>
                <w:szCs w:val="18"/>
              </w:rPr>
            </w:pPr>
          </w:p>
        </w:tc>
      </w:tr>
    </w:tbl>
    <w:p>
      <w:pPr>
        <w:widowControl/>
        <w:jc w:val="left"/>
        <w:rPr>
          <w:rFonts w:ascii="宋体" w:hAnsi="宋体"/>
          <w:kern w:val="0"/>
          <w:szCs w:val="21"/>
        </w:rPr>
        <w:sectPr>
          <w:pgSz w:w="11906" w:h="16838"/>
          <w:pgMar w:top="1276" w:right="1616" w:bottom="1702" w:left="1616" w:header="851" w:footer="1474" w:gutter="0"/>
          <w:pgNumType w:fmt="decimal"/>
          <w:cols w:space="720" w:num="1"/>
          <w:docGrid w:type="lines" w:linePitch="312" w:charSpace="0"/>
        </w:sectPr>
      </w:pPr>
    </w:p>
    <w:tbl>
      <w:tblPr>
        <w:tblStyle w:val="38"/>
        <w:tblW w:w="14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108"/>
        <w:gridCol w:w="552"/>
        <w:gridCol w:w="2045"/>
        <w:gridCol w:w="3238"/>
        <w:gridCol w:w="710"/>
        <w:gridCol w:w="46"/>
        <w:gridCol w:w="1007"/>
        <w:gridCol w:w="49"/>
        <w:gridCol w:w="701"/>
        <w:gridCol w:w="6"/>
        <w:gridCol w:w="28"/>
        <w:gridCol w:w="1025"/>
        <w:gridCol w:w="88"/>
        <w:gridCol w:w="1117"/>
        <w:gridCol w:w="19"/>
        <w:gridCol w:w="714"/>
        <w:gridCol w:w="37"/>
        <w:gridCol w:w="755"/>
        <w:gridCol w:w="605"/>
        <w:gridCol w:w="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14" w:hRule="atLeast"/>
          <w:jc w:val="center"/>
        </w:trPr>
        <w:tc>
          <w:tcPr>
            <w:tcW w:w="14340" w:type="dxa"/>
            <w:gridSpan w:val="20"/>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vAlign w:val="center"/>
          </w:tcPr>
          <w:p>
            <w:pPr>
              <w:widowControl/>
              <w:adjustRightInd w:val="0"/>
              <w:snapToGrid w:val="0"/>
              <w:rPr>
                <w:kern w:val="0"/>
                <w:sz w:val="18"/>
                <w:szCs w:val="18"/>
              </w:rPr>
            </w:pPr>
            <w:r>
              <w:rPr>
                <w:kern w:val="0"/>
                <w:sz w:val="18"/>
                <w:szCs w:val="18"/>
              </w:rPr>
              <w:t xml:space="preserve">C </w:t>
            </w:r>
            <w:r>
              <w:rPr>
                <w:rFonts w:hint="eastAsia"/>
                <w:kern w:val="0"/>
                <w:sz w:val="18"/>
                <w:szCs w:val="18"/>
              </w:rPr>
              <w:t>核算边界和主要排放设施描述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63" w:hRule="atLeast"/>
          <w:jc w:val="center"/>
        </w:trPr>
        <w:tc>
          <w:tcPr>
            <w:tcW w:w="14340" w:type="dxa"/>
            <w:gridSpan w:val="20"/>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numPr>
                <w:ilvl w:val="0"/>
                <w:numId w:val="27"/>
              </w:numPr>
              <w:adjustRightInd w:val="0"/>
              <w:snapToGrid w:val="0"/>
              <w:spacing w:line="240" w:lineRule="exact"/>
              <w:ind w:left="420" w:leftChars="0" w:hanging="420" w:firstLineChars="0"/>
              <w:rPr>
                <w:kern w:val="0"/>
                <w:sz w:val="18"/>
                <w:szCs w:val="18"/>
              </w:rPr>
            </w:pPr>
            <w:r>
              <w:rPr>
                <w:rFonts w:hint="eastAsia"/>
                <w:kern w:val="0"/>
                <w:sz w:val="18"/>
                <w:szCs w:val="18"/>
              </w:rPr>
              <w:t>报告主体法人边界的核算和报告范围描述</w:t>
            </w:r>
            <w:r>
              <w:rPr>
                <w:kern w:val="0"/>
                <w:sz w:val="18"/>
                <w:szCs w:val="18"/>
                <w:vertAlign w:val="superscript"/>
              </w:rPr>
              <w:footnoteReference w:id="1"/>
            </w:r>
          </w:p>
          <w:p>
            <w:pPr>
              <w:widowControl/>
              <w:adjustRightInd w:val="0"/>
              <w:snapToGrid w:val="0"/>
              <w:spacing w:line="240" w:lineRule="exac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21" w:hRule="atLeast"/>
          <w:jc w:val="center"/>
        </w:trPr>
        <w:tc>
          <w:tcPr>
            <w:tcW w:w="14340" w:type="dxa"/>
            <w:gridSpan w:val="20"/>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numPr>
                <w:ilvl w:val="0"/>
                <w:numId w:val="28"/>
              </w:numPr>
              <w:adjustRightInd w:val="0"/>
              <w:snapToGrid w:val="0"/>
              <w:spacing w:line="240" w:lineRule="exact"/>
              <w:ind w:left="210" w:leftChars="100"/>
              <w:rPr>
                <w:kern w:val="0"/>
                <w:sz w:val="18"/>
                <w:szCs w:val="18"/>
              </w:rPr>
            </w:pPr>
            <w:r>
              <w:rPr>
                <w:rFonts w:hint="eastAsia"/>
                <w:kern w:val="0"/>
                <w:sz w:val="18"/>
                <w:szCs w:val="18"/>
              </w:rPr>
              <w:t>主要排放设施</w:t>
            </w:r>
            <w:r>
              <w:rPr>
                <w:kern w:val="0"/>
                <w:sz w:val="18"/>
                <w:szCs w:val="18"/>
                <w:vertAlign w:val="superscript"/>
              </w:rPr>
              <w:footnoteReference w:id="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21" w:hRule="atLeast"/>
          <w:jc w:val="center"/>
        </w:trPr>
        <w:tc>
          <w:tcPr>
            <w:tcW w:w="14340" w:type="dxa"/>
            <w:gridSpan w:val="20"/>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ind w:left="630"/>
              <w:rPr>
                <w:sz w:val="18"/>
                <w:szCs w:val="18"/>
              </w:rPr>
            </w:pPr>
            <w:r>
              <w:rPr>
                <w:rFonts w:hint="eastAsia"/>
                <w:sz w:val="18"/>
                <w:szCs w:val="18"/>
                <w:lang w:val="en-US" w:eastAsia="zh-CN"/>
              </w:rPr>
              <w:t>5</w:t>
            </w:r>
            <w:r>
              <w:rPr>
                <w:rFonts w:hint="eastAsia"/>
                <w:sz w:val="18"/>
                <w:szCs w:val="18"/>
              </w:rPr>
              <w:t>.1与化石燃料燃烧排放相关的排放设施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14" w:hRule="atLeast"/>
          <w:jc w:val="center"/>
        </w:trPr>
        <w:tc>
          <w:tcPr>
            <w:tcW w:w="1598"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jc w:val="center"/>
              <w:rPr>
                <w:kern w:val="0"/>
                <w:sz w:val="18"/>
                <w:szCs w:val="18"/>
              </w:rPr>
            </w:pPr>
            <w:r>
              <w:rPr>
                <w:rFonts w:hint="eastAsia"/>
                <w:kern w:val="0"/>
                <w:sz w:val="18"/>
                <w:szCs w:val="18"/>
              </w:rPr>
              <w:t>编号</w:t>
            </w:r>
          </w:p>
        </w:tc>
        <w:tc>
          <w:tcPr>
            <w:tcW w:w="259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kern w:val="0"/>
                <w:sz w:val="18"/>
                <w:szCs w:val="18"/>
              </w:rPr>
            </w:pPr>
            <w:r>
              <w:rPr>
                <w:rFonts w:hint="eastAsia"/>
                <w:kern w:val="0"/>
                <w:sz w:val="18"/>
                <w:szCs w:val="18"/>
              </w:rPr>
              <w:t>排放设施名称</w:t>
            </w:r>
          </w:p>
        </w:tc>
        <w:tc>
          <w:tcPr>
            <w:tcW w:w="323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kern w:val="0"/>
                <w:sz w:val="18"/>
                <w:szCs w:val="18"/>
              </w:rPr>
            </w:pPr>
            <w:r>
              <w:rPr>
                <w:rFonts w:hint="eastAsia"/>
                <w:kern w:val="0"/>
                <w:sz w:val="18"/>
                <w:szCs w:val="18"/>
              </w:rPr>
              <w:t>排放设施安装位置</w:t>
            </w:r>
          </w:p>
        </w:tc>
        <w:tc>
          <w:tcPr>
            <w:tcW w:w="251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kern w:val="0"/>
                <w:sz w:val="18"/>
                <w:szCs w:val="18"/>
              </w:rPr>
            </w:pPr>
            <w:r>
              <w:rPr>
                <w:rFonts w:hint="eastAsia"/>
                <w:kern w:val="0"/>
                <w:sz w:val="18"/>
                <w:szCs w:val="18"/>
              </w:rPr>
              <w:t>排放过程</w:t>
            </w:r>
            <w:r>
              <w:rPr>
                <w:kern w:val="0"/>
                <w:sz w:val="18"/>
                <w:szCs w:val="18"/>
                <w:vertAlign w:val="superscript"/>
              </w:rPr>
              <w:footnoteReference w:id="3"/>
            </w:r>
          </w:p>
        </w:tc>
        <w:tc>
          <w:tcPr>
            <w:tcW w:w="439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kern w:val="0"/>
                <w:sz w:val="18"/>
                <w:szCs w:val="18"/>
              </w:rPr>
            </w:pPr>
            <w:r>
              <w:rPr>
                <w:rFonts w:ascii="Times New Roman" w:hAnsi="Times New Roman"/>
                <w:kern w:val="0"/>
                <w:sz w:val="18"/>
                <w:szCs w:val="18"/>
              </w:rPr>
              <w:t>是否纳入配额管控范围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21" w:hRule="atLeast"/>
          <w:jc w:val="center"/>
        </w:trPr>
        <w:tc>
          <w:tcPr>
            <w:tcW w:w="1598"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ind w:left="630"/>
              <w:rPr>
                <w:kern w:val="0"/>
                <w:sz w:val="18"/>
                <w:szCs w:val="18"/>
              </w:rPr>
            </w:pPr>
          </w:p>
        </w:tc>
        <w:tc>
          <w:tcPr>
            <w:tcW w:w="259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ind w:left="630"/>
              <w:rPr>
                <w:kern w:val="0"/>
                <w:sz w:val="18"/>
                <w:szCs w:val="18"/>
              </w:rPr>
            </w:pPr>
          </w:p>
        </w:tc>
        <w:tc>
          <w:tcPr>
            <w:tcW w:w="323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ind w:left="630"/>
              <w:rPr>
                <w:kern w:val="0"/>
                <w:sz w:val="18"/>
                <w:szCs w:val="18"/>
              </w:rPr>
            </w:pPr>
          </w:p>
        </w:tc>
        <w:tc>
          <w:tcPr>
            <w:tcW w:w="251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ind w:left="630"/>
              <w:rPr>
                <w:kern w:val="0"/>
                <w:sz w:val="18"/>
                <w:szCs w:val="18"/>
              </w:rPr>
            </w:pPr>
          </w:p>
        </w:tc>
        <w:tc>
          <w:tcPr>
            <w:tcW w:w="439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ind w:left="630"/>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21" w:hRule="atLeast"/>
          <w:jc w:val="center"/>
        </w:trPr>
        <w:tc>
          <w:tcPr>
            <w:tcW w:w="14340" w:type="dxa"/>
            <w:gridSpan w:val="20"/>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exact"/>
              <w:ind w:left="629"/>
              <w:textAlignment w:val="auto"/>
              <w:rPr>
                <w:kern w:val="0"/>
                <w:sz w:val="18"/>
                <w:szCs w:val="18"/>
              </w:rPr>
            </w:pPr>
            <w:r>
              <w:rPr>
                <w:rFonts w:hint="eastAsia"/>
                <w:kern w:val="0"/>
                <w:sz w:val="18"/>
                <w:szCs w:val="18"/>
                <w:lang w:val="en-US" w:eastAsia="zh-CN"/>
              </w:rPr>
              <w:t>5</w:t>
            </w:r>
            <w:r>
              <w:rPr>
                <w:rFonts w:hint="eastAsia"/>
                <w:kern w:val="0"/>
                <w:sz w:val="18"/>
                <w:szCs w:val="18"/>
              </w:rPr>
              <w:t>.2与过程排放相关的排放设施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14" w:hRule="atLeast"/>
          <w:jc w:val="center"/>
        </w:trPr>
        <w:tc>
          <w:tcPr>
            <w:tcW w:w="1598"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jc w:val="center"/>
              <w:rPr>
                <w:i/>
                <w:iCs/>
                <w:color w:val="4F81BD"/>
                <w:spacing w:val="15"/>
                <w:kern w:val="0"/>
                <w:sz w:val="18"/>
                <w:szCs w:val="18"/>
              </w:rPr>
            </w:pPr>
            <w:r>
              <w:rPr>
                <w:rFonts w:hint="eastAsia"/>
                <w:kern w:val="0"/>
                <w:sz w:val="18"/>
                <w:szCs w:val="18"/>
              </w:rPr>
              <w:t>编号</w:t>
            </w:r>
          </w:p>
        </w:tc>
        <w:tc>
          <w:tcPr>
            <w:tcW w:w="259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i/>
                <w:iCs/>
                <w:color w:val="4F81BD"/>
                <w:spacing w:val="15"/>
                <w:kern w:val="0"/>
                <w:sz w:val="18"/>
                <w:szCs w:val="18"/>
              </w:rPr>
            </w:pPr>
            <w:r>
              <w:rPr>
                <w:rFonts w:hint="eastAsia"/>
                <w:kern w:val="0"/>
                <w:sz w:val="18"/>
                <w:szCs w:val="18"/>
              </w:rPr>
              <w:t>排放设施名称</w:t>
            </w:r>
          </w:p>
        </w:tc>
        <w:tc>
          <w:tcPr>
            <w:tcW w:w="323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i/>
                <w:iCs/>
                <w:color w:val="4F81BD"/>
                <w:spacing w:val="15"/>
                <w:kern w:val="0"/>
                <w:sz w:val="18"/>
                <w:szCs w:val="18"/>
              </w:rPr>
            </w:pPr>
            <w:r>
              <w:rPr>
                <w:rFonts w:hint="eastAsia"/>
                <w:kern w:val="0"/>
                <w:sz w:val="18"/>
                <w:szCs w:val="18"/>
              </w:rPr>
              <w:t>排放设施安装位置</w:t>
            </w:r>
          </w:p>
        </w:tc>
        <w:tc>
          <w:tcPr>
            <w:tcW w:w="251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i/>
                <w:iCs/>
                <w:color w:val="4F81BD"/>
                <w:spacing w:val="15"/>
                <w:kern w:val="0"/>
                <w:sz w:val="18"/>
                <w:szCs w:val="18"/>
              </w:rPr>
            </w:pPr>
            <w:r>
              <w:rPr>
                <w:rFonts w:hint="eastAsia"/>
                <w:kern w:val="0"/>
                <w:sz w:val="18"/>
                <w:szCs w:val="18"/>
              </w:rPr>
              <w:t>排放过程</w:t>
            </w:r>
            <w:r>
              <w:rPr>
                <w:kern w:val="0"/>
                <w:sz w:val="18"/>
                <w:szCs w:val="18"/>
                <w:vertAlign w:val="superscript"/>
              </w:rPr>
              <w:footnoteReference w:id="4"/>
            </w:r>
          </w:p>
        </w:tc>
        <w:tc>
          <w:tcPr>
            <w:tcW w:w="439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kern w:val="0"/>
                <w:sz w:val="18"/>
                <w:szCs w:val="18"/>
              </w:rPr>
            </w:pPr>
            <w:r>
              <w:rPr>
                <w:rFonts w:ascii="Times New Roman" w:hAnsi="Times New Roman"/>
                <w:kern w:val="0"/>
                <w:sz w:val="18"/>
                <w:szCs w:val="18"/>
              </w:rPr>
              <w:t>是否纳入配额管控范围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21" w:hRule="atLeast"/>
          <w:jc w:val="center"/>
        </w:trPr>
        <w:tc>
          <w:tcPr>
            <w:tcW w:w="1598"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ind w:left="630"/>
              <w:rPr>
                <w:kern w:val="0"/>
                <w:sz w:val="18"/>
                <w:szCs w:val="18"/>
              </w:rPr>
            </w:pPr>
          </w:p>
        </w:tc>
        <w:tc>
          <w:tcPr>
            <w:tcW w:w="259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ind w:left="630"/>
              <w:rPr>
                <w:kern w:val="0"/>
                <w:sz w:val="18"/>
                <w:szCs w:val="18"/>
              </w:rPr>
            </w:pPr>
          </w:p>
        </w:tc>
        <w:tc>
          <w:tcPr>
            <w:tcW w:w="323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ind w:left="630"/>
              <w:rPr>
                <w:kern w:val="0"/>
                <w:sz w:val="18"/>
                <w:szCs w:val="18"/>
              </w:rPr>
            </w:pPr>
          </w:p>
        </w:tc>
        <w:tc>
          <w:tcPr>
            <w:tcW w:w="251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ind w:left="630"/>
              <w:rPr>
                <w:kern w:val="0"/>
                <w:sz w:val="18"/>
                <w:szCs w:val="18"/>
              </w:rPr>
            </w:pPr>
          </w:p>
        </w:tc>
        <w:tc>
          <w:tcPr>
            <w:tcW w:w="439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ind w:left="630"/>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21" w:hRule="atLeast"/>
          <w:jc w:val="center"/>
        </w:trPr>
        <w:tc>
          <w:tcPr>
            <w:tcW w:w="14340" w:type="dxa"/>
            <w:gridSpan w:val="20"/>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exact"/>
              <w:ind w:left="629"/>
              <w:textAlignment w:val="auto"/>
              <w:rPr>
                <w:rFonts w:hint="eastAsia"/>
                <w:kern w:val="0"/>
                <w:sz w:val="18"/>
                <w:szCs w:val="18"/>
              </w:rPr>
            </w:pPr>
            <w:r>
              <w:rPr>
                <w:rFonts w:hint="eastAsia"/>
                <w:kern w:val="0"/>
                <w:sz w:val="18"/>
                <w:szCs w:val="18"/>
                <w:lang w:val="en-US" w:eastAsia="zh-CN"/>
              </w:rPr>
              <w:t>5.3</w:t>
            </w:r>
            <w:r>
              <w:rPr>
                <w:rFonts w:hint="eastAsia"/>
                <w:kern w:val="0"/>
                <w:sz w:val="18"/>
                <w:szCs w:val="18"/>
              </w:rPr>
              <w:t>主要耗电</w:t>
            </w:r>
            <w:r>
              <w:rPr>
                <w:rFonts w:hint="eastAsia"/>
                <w:kern w:val="0"/>
                <w:sz w:val="18"/>
                <w:szCs w:val="18"/>
                <w:lang w:val="en-US" w:eastAsia="zh-CN"/>
              </w:rPr>
              <w:t>/热</w:t>
            </w:r>
            <w:r>
              <w:rPr>
                <w:rFonts w:hint="eastAsia"/>
                <w:kern w:val="0"/>
                <w:sz w:val="18"/>
                <w:szCs w:val="18"/>
              </w:rPr>
              <w:t>的设施</w:t>
            </w:r>
            <w:r>
              <w:rPr>
                <w:kern w:val="0"/>
                <w:sz w:val="18"/>
                <w:szCs w:val="18"/>
                <w:vertAlign w:val="superscript"/>
              </w:rPr>
              <w:footnoteReference w:id="5"/>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14" w:hRule="atLeast"/>
          <w:jc w:val="center"/>
        </w:trPr>
        <w:tc>
          <w:tcPr>
            <w:tcW w:w="1598"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jc w:val="center"/>
              <w:rPr>
                <w:kern w:val="0"/>
                <w:sz w:val="18"/>
                <w:szCs w:val="18"/>
              </w:rPr>
            </w:pPr>
            <w:r>
              <w:rPr>
                <w:rFonts w:hint="eastAsia"/>
                <w:kern w:val="0"/>
                <w:sz w:val="18"/>
                <w:szCs w:val="18"/>
              </w:rPr>
              <w:t>编号</w:t>
            </w:r>
          </w:p>
        </w:tc>
        <w:tc>
          <w:tcPr>
            <w:tcW w:w="259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kern w:val="0"/>
                <w:sz w:val="18"/>
                <w:szCs w:val="18"/>
              </w:rPr>
            </w:pPr>
            <w:r>
              <w:rPr>
                <w:rFonts w:hint="eastAsia"/>
                <w:kern w:val="0"/>
                <w:sz w:val="18"/>
                <w:szCs w:val="18"/>
              </w:rPr>
              <w:t>设施名称</w:t>
            </w:r>
          </w:p>
        </w:tc>
        <w:tc>
          <w:tcPr>
            <w:tcW w:w="575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kern w:val="0"/>
                <w:sz w:val="18"/>
                <w:szCs w:val="18"/>
              </w:rPr>
            </w:pPr>
            <w:r>
              <w:rPr>
                <w:rFonts w:hint="eastAsia"/>
                <w:kern w:val="0"/>
                <w:sz w:val="18"/>
                <w:szCs w:val="18"/>
              </w:rPr>
              <w:t>设施安装位置</w:t>
            </w:r>
          </w:p>
        </w:tc>
        <w:tc>
          <w:tcPr>
            <w:tcW w:w="439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kern w:val="0"/>
                <w:sz w:val="18"/>
                <w:szCs w:val="18"/>
              </w:rPr>
            </w:pPr>
            <w:r>
              <w:rPr>
                <w:rFonts w:ascii="Times New Roman" w:hAnsi="Times New Roman"/>
                <w:kern w:val="0"/>
                <w:sz w:val="18"/>
                <w:szCs w:val="18"/>
              </w:rPr>
              <w:t>是否纳入配额管控范围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21" w:hRule="atLeast"/>
          <w:jc w:val="center"/>
        </w:trPr>
        <w:tc>
          <w:tcPr>
            <w:tcW w:w="1598"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adjustRightInd w:val="0"/>
              <w:snapToGrid w:val="0"/>
              <w:spacing w:line="240" w:lineRule="exact"/>
              <w:ind w:left="630"/>
              <w:rPr>
                <w:kern w:val="0"/>
                <w:sz w:val="18"/>
                <w:szCs w:val="18"/>
              </w:rPr>
            </w:pPr>
          </w:p>
        </w:tc>
        <w:tc>
          <w:tcPr>
            <w:tcW w:w="259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ind w:left="630"/>
              <w:rPr>
                <w:kern w:val="0"/>
                <w:sz w:val="18"/>
                <w:szCs w:val="18"/>
              </w:rPr>
            </w:pPr>
          </w:p>
        </w:tc>
        <w:tc>
          <w:tcPr>
            <w:tcW w:w="575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ind w:left="630"/>
              <w:rPr>
                <w:kern w:val="0"/>
                <w:sz w:val="18"/>
                <w:szCs w:val="18"/>
              </w:rPr>
            </w:pPr>
          </w:p>
        </w:tc>
        <w:tc>
          <w:tcPr>
            <w:tcW w:w="439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240" w:lineRule="exact"/>
              <w:ind w:left="630"/>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14" w:hRule="atLeast"/>
          <w:jc w:val="center"/>
        </w:trPr>
        <w:tc>
          <w:tcPr>
            <w:tcW w:w="14340" w:type="dxa"/>
            <w:gridSpan w:val="20"/>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tcPr>
          <w:p>
            <w:pPr>
              <w:widowControl/>
              <w:adjustRightInd w:val="0"/>
              <w:snapToGrid w:val="0"/>
              <w:jc w:val="left"/>
              <w:rPr>
                <w:kern w:val="0"/>
                <w:sz w:val="18"/>
                <w:szCs w:val="18"/>
              </w:rPr>
            </w:pPr>
            <w:r>
              <w:rPr>
                <w:kern w:val="0"/>
                <w:sz w:val="18"/>
                <w:szCs w:val="18"/>
              </w:rPr>
              <w:br w:type="page"/>
            </w:r>
            <w:r>
              <w:rPr>
                <w:rFonts w:hint="eastAsia"/>
                <w:kern w:val="0"/>
                <w:sz w:val="18"/>
                <w:szCs w:val="18"/>
              </w:rPr>
              <w:t>D活动数据和排放因子的确定方式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14" w:hRule="atLeast"/>
          <w:jc w:val="center"/>
        </w:trPr>
        <w:tc>
          <w:tcPr>
            <w:tcW w:w="14340" w:type="dxa"/>
            <w:gridSpan w:val="20"/>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adjustRightInd w:val="0"/>
              <w:snapToGrid w:val="0"/>
              <w:rPr>
                <w:sz w:val="18"/>
                <w:szCs w:val="18"/>
              </w:rPr>
            </w:pPr>
            <w:r>
              <w:rPr>
                <w:sz w:val="18"/>
                <w:szCs w:val="18"/>
              </w:rPr>
              <w:t xml:space="preserve">D-1 </w:t>
            </w:r>
            <w:r>
              <w:rPr>
                <w:rFonts w:hint="eastAsia"/>
                <w:sz w:val="18"/>
                <w:szCs w:val="18"/>
              </w:rPr>
              <w:t>化石燃料燃烧排放活动数据和排放因子的确定方式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14" w:hRule="atLeast"/>
          <w:jc w:val="center"/>
        </w:trPr>
        <w:tc>
          <w:tcPr>
            <w:tcW w:w="1490"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adjustRightInd w:val="0"/>
              <w:snapToGrid w:val="0"/>
              <w:ind w:firstLine="180" w:firstLineChars="100"/>
              <w:jc w:val="center"/>
              <w:rPr>
                <w:sz w:val="18"/>
                <w:szCs w:val="18"/>
              </w:rPr>
            </w:pPr>
            <w:r>
              <w:rPr>
                <w:rFonts w:hint="eastAsia"/>
                <w:kern w:val="0"/>
                <w:sz w:val="18"/>
                <w:szCs w:val="18"/>
              </w:rPr>
              <w:t>化石燃料种类</w:t>
            </w:r>
          </w:p>
        </w:tc>
        <w:tc>
          <w:tcPr>
            <w:tcW w:w="660" w:type="dxa"/>
            <w:gridSpan w:val="2"/>
            <w:vMerge w:val="restart"/>
            <w:tcBorders>
              <w:top w:val="single" w:color="auto" w:sz="4" w:space="0"/>
              <w:left w:val="single" w:color="auto" w:sz="4" w:space="0"/>
              <w:bottom w:val="single" w:color="auto" w:sz="4" w:space="0"/>
              <w:right w:val="single" w:color="auto" w:sz="4" w:space="0"/>
            </w:tcBorders>
          </w:tcPr>
          <w:p>
            <w:pPr>
              <w:adjustRightInd w:val="0"/>
              <w:snapToGrid w:val="0"/>
              <w:jc w:val="center"/>
              <w:rPr>
                <w:sz w:val="18"/>
                <w:szCs w:val="18"/>
              </w:rPr>
            </w:pPr>
            <w:r>
              <w:rPr>
                <w:rFonts w:hint="eastAsia"/>
                <w:kern w:val="0"/>
                <w:sz w:val="18"/>
                <w:szCs w:val="18"/>
              </w:rPr>
              <w:t>单位</w:t>
            </w:r>
          </w:p>
        </w:tc>
        <w:tc>
          <w:tcPr>
            <w:tcW w:w="5283" w:type="dxa"/>
            <w:gridSpan w:val="2"/>
            <w:vMerge w:val="restart"/>
            <w:tcBorders>
              <w:top w:val="single" w:color="auto" w:sz="4" w:space="0"/>
              <w:left w:val="single" w:color="auto" w:sz="4" w:space="0"/>
              <w:bottom w:val="single" w:color="auto" w:sz="4" w:space="0"/>
              <w:right w:val="single" w:color="auto" w:sz="4" w:space="0"/>
            </w:tcBorders>
          </w:tcPr>
          <w:p>
            <w:pPr>
              <w:adjustRightInd w:val="0"/>
              <w:snapToGrid w:val="0"/>
              <w:jc w:val="center"/>
              <w:rPr>
                <w:kern w:val="0"/>
                <w:sz w:val="18"/>
                <w:szCs w:val="18"/>
              </w:rPr>
            </w:pPr>
            <w:r>
              <w:rPr>
                <w:rFonts w:hint="eastAsia"/>
                <w:kern w:val="0"/>
                <w:sz w:val="18"/>
                <w:szCs w:val="18"/>
              </w:rPr>
              <w:t>数据的计算方法及获取方式</w:t>
            </w:r>
            <w:r>
              <w:rPr>
                <w:kern w:val="0"/>
                <w:sz w:val="18"/>
                <w:szCs w:val="18"/>
                <w:vertAlign w:val="superscript"/>
              </w:rPr>
              <w:footnoteReference w:id="6"/>
            </w:r>
          </w:p>
          <w:p>
            <w:pPr>
              <w:adjustRightInd w:val="0"/>
              <w:snapToGrid w:val="0"/>
              <w:spacing w:line="200" w:lineRule="exact"/>
              <w:ind w:left="420"/>
              <w:jc w:val="left"/>
              <w:rPr>
                <w:sz w:val="18"/>
                <w:szCs w:val="18"/>
              </w:rPr>
            </w:pPr>
            <w:r>
              <w:rPr>
                <w:rFonts w:hint="eastAsia"/>
                <w:sz w:val="18"/>
                <w:szCs w:val="18"/>
              </w:rPr>
              <w:t>选取以下获取方式：</w:t>
            </w:r>
          </w:p>
          <w:p>
            <w:pPr>
              <w:numPr>
                <w:ilvl w:val="0"/>
                <w:numId w:val="29"/>
              </w:numPr>
              <w:adjustRightInd w:val="0"/>
              <w:snapToGrid w:val="0"/>
              <w:spacing w:line="200" w:lineRule="exact"/>
              <w:jc w:val="left"/>
              <w:rPr>
                <w:sz w:val="18"/>
                <w:szCs w:val="18"/>
              </w:rPr>
            </w:pPr>
            <w:r>
              <w:rPr>
                <w:rFonts w:hint="eastAsia"/>
                <w:sz w:val="18"/>
                <w:szCs w:val="18"/>
              </w:rPr>
              <w:t>实测值（如是，请具体填报时，采用在表下加备注的方式写明具体方法和标准）；</w:t>
            </w:r>
          </w:p>
          <w:p>
            <w:pPr>
              <w:numPr>
                <w:ilvl w:val="0"/>
                <w:numId w:val="29"/>
              </w:numPr>
              <w:adjustRightInd w:val="0"/>
              <w:snapToGrid w:val="0"/>
              <w:spacing w:line="200" w:lineRule="exact"/>
              <w:jc w:val="left"/>
              <w:rPr>
                <w:sz w:val="18"/>
                <w:szCs w:val="18"/>
              </w:rPr>
            </w:pPr>
            <w:r>
              <w:rPr>
                <w:rFonts w:hint="eastAsia"/>
                <w:sz w:val="18"/>
                <w:szCs w:val="18"/>
              </w:rPr>
              <w:t>缺省值（如是，请填写具体数值）；</w:t>
            </w:r>
          </w:p>
          <w:p>
            <w:pPr>
              <w:numPr>
                <w:ilvl w:val="0"/>
                <w:numId w:val="29"/>
              </w:numPr>
              <w:adjustRightInd w:val="0"/>
              <w:snapToGrid w:val="0"/>
              <w:spacing w:line="200" w:lineRule="exact"/>
              <w:jc w:val="left"/>
              <w:rPr>
                <w:sz w:val="18"/>
                <w:szCs w:val="18"/>
              </w:rPr>
            </w:pPr>
            <w:r>
              <w:rPr>
                <w:rFonts w:hint="eastAsia"/>
                <w:sz w:val="18"/>
                <w:szCs w:val="18"/>
              </w:rPr>
              <w:t>相关方结算凭证（如是，请具体填报时，采用在表下加备注的方式填写如何确保供应商数据质量）；</w:t>
            </w:r>
          </w:p>
          <w:p>
            <w:pPr>
              <w:numPr>
                <w:ilvl w:val="0"/>
                <w:numId w:val="29"/>
              </w:numPr>
              <w:adjustRightInd w:val="0"/>
              <w:snapToGrid w:val="0"/>
              <w:spacing w:line="200" w:lineRule="exact"/>
              <w:jc w:val="left"/>
              <w:rPr>
                <w:i/>
                <w:sz w:val="18"/>
                <w:szCs w:val="18"/>
              </w:rPr>
            </w:pPr>
            <w:r>
              <w:rPr>
                <w:rFonts w:hint="eastAsia"/>
                <w:sz w:val="18"/>
                <w:szCs w:val="18"/>
              </w:rPr>
              <w:t>其他方式（如是，请具体填报时，采用在表下加备注的方式详细描述）。</w:t>
            </w:r>
          </w:p>
        </w:tc>
        <w:tc>
          <w:tcPr>
            <w:tcW w:w="4777" w:type="dxa"/>
            <w:gridSpan w:val="10"/>
            <w:tcBorders>
              <w:top w:val="single" w:color="auto" w:sz="4" w:space="0"/>
              <w:left w:val="single" w:color="auto" w:sz="4" w:space="0"/>
              <w:bottom w:val="single" w:color="auto" w:sz="4" w:space="0"/>
              <w:right w:val="single" w:color="auto" w:sz="4" w:space="0"/>
            </w:tcBorders>
          </w:tcPr>
          <w:p>
            <w:pPr>
              <w:adjustRightInd w:val="0"/>
              <w:snapToGrid w:val="0"/>
              <w:jc w:val="center"/>
              <w:rPr>
                <w:sz w:val="18"/>
                <w:szCs w:val="18"/>
              </w:rPr>
            </w:pPr>
            <w:r>
              <w:rPr>
                <w:rFonts w:hint="eastAsia"/>
                <w:sz w:val="18"/>
                <w:szCs w:val="18"/>
              </w:rPr>
              <w:t>测量设备（适用于数据获取方式来源于实测值）</w:t>
            </w:r>
          </w:p>
        </w:tc>
        <w:tc>
          <w:tcPr>
            <w:tcW w:w="770" w:type="dxa"/>
            <w:gridSpan w:val="3"/>
            <w:vMerge w:val="restart"/>
            <w:tcBorders>
              <w:top w:val="single" w:color="auto" w:sz="4" w:space="0"/>
              <w:left w:val="single" w:color="auto" w:sz="4" w:space="0"/>
              <w:bottom w:val="single" w:color="auto" w:sz="4" w:space="0"/>
              <w:right w:val="single" w:color="auto" w:sz="4" w:space="0"/>
            </w:tcBorders>
          </w:tcPr>
          <w:p>
            <w:pPr>
              <w:adjustRightInd w:val="0"/>
              <w:snapToGrid w:val="0"/>
              <w:jc w:val="center"/>
              <w:rPr>
                <w:sz w:val="18"/>
                <w:szCs w:val="18"/>
              </w:rPr>
            </w:pPr>
            <w:r>
              <w:rPr>
                <w:rFonts w:hint="eastAsia"/>
                <w:kern w:val="0"/>
                <w:sz w:val="18"/>
                <w:szCs w:val="18"/>
              </w:rPr>
              <w:t>数据记录频次</w:t>
            </w:r>
          </w:p>
        </w:tc>
        <w:tc>
          <w:tcPr>
            <w:tcW w:w="755" w:type="dxa"/>
            <w:vMerge w:val="restart"/>
            <w:tcBorders>
              <w:top w:val="single" w:color="auto" w:sz="4" w:space="0"/>
              <w:left w:val="single" w:color="auto" w:sz="4" w:space="0"/>
              <w:bottom w:val="single" w:color="auto" w:sz="4" w:space="0"/>
              <w:right w:val="single" w:color="auto" w:sz="4" w:space="0"/>
            </w:tcBorders>
          </w:tcPr>
          <w:p>
            <w:pPr>
              <w:adjustRightInd w:val="0"/>
              <w:snapToGrid w:val="0"/>
              <w:jc w:val="center"/>
              <w:rPr>
                <w:sz w:val="18"/>
                <w:szCs w:val="18"/>
              </w:rPr>
            </w:pPr>
            <w:r>
              <w:rPr>
                <w:rFonts w:hint="eastAsia"/>
                <w:kern w:val="0"/>
                <w:sz w:val="18"/>
                <w:szCs w:val="18"/>
              </w:rPr>
              <w:t>数据缺失时的处理方式</w:t>
            </w:r>
          </w:p>
        </w:tc>
        <w:tc>
          <w:tcPr>
            <w:tcW w:w="605" w:type="dxa"/>
            <w:vMerge w:val="restart"/>
            <w:tcBorders>
              <w:top w:val="single" w:color="auto" w:sz="4" w:space="0"/>
              <w:left w:val="single" w:color="auto" w:sz="4" w:space="0"/>
              <w:right w:val="single" w:color="auto" w:sz="4" w:space="0"/>
            </w:tcBorders>
          </w:tcPr>
          <w:p>
            <w:pPr>
              <w:adjustRightInd w:val="0"/>
              <w:snapToGrid w:val="0"/>
              <w:jc w:val="center"/>
              <w:rPr>
                <w:sz w:val="18"/>
                <w:szCs w:val="18"/>
              </w:rPr>
            </w:pPr>
            <w:r>
              <w:rPr>
                <w:rFonts w:hint="eastAsia"/>
                <w:sz w:val="18"/>
                <w:szCs w:val="18"/>
              </w:rPr>
              <w:t>数据获取负责部门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1642" w:hRule="atLeast"/>
          <w:jc w:val="center"/>
        </w:trPr>
        <w:tc>
          <w:tcPr>
            <w:tcW w:w="149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sz w:val="18"/>
                <w:szCs w:val="18"/>
              </w:rPr>
            </w:pPr>
          </w:p>
        </w:tc>
        <w:tc>
          <w:tcPr>
            <w:tcW w:w="6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sz w:val="18"/>
                <w:szCs w:val="18"/>
              </w:rPr>
            </w:pPr>
          </w:p>
        </w:tc>
        <w:tc>
          <w:tcPr>
            <w:tcW w:w="52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i/>
                <w:sz w:val="18"/>
                <w:szCs w:val="18"/>
              </w:rPr>
            </w:pPr>
          </w:p>
        </w:tc>
        <w:tc>
          <w:tcPr>
            <w:tcW w:w="756" w:type="dxa"/>
            <w:gridSpan w:val="2"/>
            <w:tcBorders>
              <w:top w:val="single" w:color="auto" w:sz="4" w:space="0"/>
              <w:left w:val="single" w:color="auto" w:sz="4" w:space="0"/>
              <w:bottom w:val="single" w:color="auto" w:sz="4" w:space="0"/>
              <w:right w:val="single" w:color="auto" w:sz="4" w:space="0"/>
            </w:tcBorders>
          </w:tcPr>
          <w:p>
            <w:pPr>
              <w:adjustRightInd w:val="0"/>
              <w:snapToGrid w:val="0"/>
              <w:jc w:val="center"/>
              <w:rPr>
                <w:sz w:val="18"/>
                <w:szCs w:val="18"/>
              </w:rPr>
            </w:pPr>
            <w:r>
              <w:rPr>
                <w:rFonts w:hint="eastAsia"/>
                <w:kern w:val="0"/>
                <w:sz w:val="18"/>
                <w:szCs w:val="18"/>
              </w:rPr>
              <w:t>监测设备及型号</w:t>
            </w:r>
          </w:p>
        </w:tc>
        <w:tc>
          <w:tcPr>
            <w:tcW w:w="1056" w:type="dxa"/>
            <w:gridSpan w:val="2"/>
            <w:tcBorders>
              <w:top w:val="single" w:color="auto" w:sz="4" w:space="0"/>
              <w:left w:val="single" w:color="auto" w:sz="4" w:space="0"/>
              <w:bottom w:val="single" w:color="auto" w:sz="4" w:space="0"/>
              <w:right w:val="single" w:color="auto" w:sz="4" w:space="0"/>
            </w:tcBorders>
          </w:tcPr>
          <w:p>
            <w:pPr>
              <w:adjustRightInd w:val="0"/>
              <w:snapToGrid w:val="0"/>
              <w:jc w:val="center"/>
              <w:rPr>
                <w:kern w:val="0"/>
                <w:sz w:val="18"/>
                <w:szCs w:val="18"/>
              </w:rPr>
            </w:pPr>
            <w:r>
              <w:rPr>
                <w:rFonts w:hint="eastAsia"/>
                <w:kern w:val="0"/>
                <w:sz w:val="18"/>
                <w:szCs w:val="18"/>
              </w:rPr>
              <w:t>监测设备</w:t>
            </w:r>
          </w:p>
          <w:p>
            <w:pPr>
              <w:adjustRightInd w:val="0"/>
              <w:snapToGrid w:val="0"/>
              <w:jc w:val="center"/>
              <w:rPr>
                <w:sz w:val="18"/>
                <w:szCs w:val="18"/>
              </w:rPr>
            </w:pPr>
            <w:r>
              <w:rPr>
                <w:rFonts w:hint="eastAsia"/>
                <w:kern w:val="0"/>
                <w:sz w:val="18"/>
                <w:szCs w:val="18"/>
              </w:rPr>
              <w:t>安装位置</w:t>
            </w:r>
          </w:p>
        </w:tc>
        <w:tc>
          <w:tcPr>
            <w:tcW w:w="707" w:type="dxa"/>
            <w:gridSpan w:val="2"/>
            <w:tcBorders>
              <w:top w:val="single" w:color="auto" w:sz="4" w:space="0"/>
              <w:left w:val="single" w:color="auto" w:sz="4" w:space="0"/>
              <w:bottom w:val="single" w:color="auto" w:sz="4" w:space="0"/>
              <w:right w:val="single" w:color="auto" w:sz="4" w:space="0"/>
            </w:tcBorders>
          </w:tcPr>
          <w:p>
            <w:pPr>
              <w:adjustRightInd w:val="0"/>
              <w:snapToGrid w:val="0"/>
              <w:jc w:val="center"/>
              <w:rPr>
                <w:kern w:val="0"/>
                <w:sz w:val="18"/>
                <w:szCs w:val="18"/>
              </w:rPr>
            </w:pPr>
            <w:r>
              <w:rPr>
                <w:rFonts w:hint="eastAsia"/>
                <w:kern w:val="0"/>
                <w:sz w:val="18"/>
                <w:szCs w:val="18"/>
              </w:rPr>
              <w:t>监测</w:t>
            </w:r>
          </w:p>
          <w:p>
            <w:pPr>
              <w:adjustRightInd w:val="0"/>
              <w:snapToGrid w:val="0"/>
              <w:jc w:val="center"/>
              <w:rPr>
                <w:sz w:val="18"/>
                <w:szCs w:val="18"/>
              </w:rPr>
            </w:pPr>
            <w:r>
              <w:rPr>
                <w:rFonts w:hint="eastAsia"/>
                <w:kern w:val="0"/>
                <w:sz w:val="18"/>
                <w:szCs w:val="18"/>
              </w:rPr>
              <w:t>频次</w:t>
            </w:r>
          </w:p>
        </w:tc>
        <w:tc>
          <w:tcPr>
            <w:tcW w:w="1141" w:type="dxa"/>
            <w:gridSpan w:val="3"/>
            <w:tcBorders>
              <w:top w:val="single" w:color="auto" w:sz="4" w:space="0"/>
              <w:left w:val="single" w:color="auto" w:sz="4" w:space="0"/>
              <w:bottom w:val="single" w:color="auto" w:sz="4" w:space="0"/>
              <w:right w:val="single" w:color="auto" w:sz="4" w:space="0"/>
            </w:tcBorders>
          </w:tcPr>
          <w:p>
            <w:pPr>
              <w:adjustRightInd w:val="0"/>
              <w:snapToGrid w:val="0"/>
              <w:jc w:val="center"/>
              <w:rPr>
                <w:kern w:val="0"/>
                <w:sz w:val="18"/>
                <w:szCs w:val="18"/>
              </w:rPr>
            </w:pPr>
            <w:r>
              <w:rPr>
                <w:rFonts w:hint="eastAsia"/>
                <w:kern w:val="0"/>
                <w:sz w:val="18"/>
                <w:szCs w:val="18"/>
              </w:rPr>
              <w:t>监测设备</w:t>
            </w:r>
          </w:p>
          <w:p>
            <w:pPr>
              <w:adjustRightInd w:val="0"/>
              <w:snapToGrid w:val="0"/>
              <w:jc w:val="center"/>
              <w:rPr>
                <w:kern w:val="0"/>
                <w:sz w:val="18"/>
                <w:szCs w:val="18"/>
              </w:rPr>
            </w:pPr>
            <w:r>
              <w:rPr>
                <w:rFonts w:hint="eastAsia"/>
                <w:kern w:val="0"/>
                <w:sz w:val="18"/>
                <w:szCs w:val="18"/>
              </w:rPr>
              <w:t>精度</w:t>
            </w:r>
          </w:p>
        </w:tc>
        <w:tc>
          <w:tcPr>
            <w:tcW w:w="1117" w:type="dxa"/>
            <w:tcBorders>
              <w:top w:val="single" w:color="auto" w:sz="4" w:space="0"/>
              <w:left w:val="single" w:color="auto" w:sz="4" w:space="0"/>
              <w:bottom w:val="single" w:color="auto" w:sz="4" w:space="0"/>
              <w:right w:val="single" w:color="auto" w:sz="4" w:space="0"/>
            </w:tcBorders>
          </w:tcPr>
          <w:p>
            <w:pPr>
              <w:adjustRightInd w:val="0"/>
              <w:snapToGrid w:val="0"/>
              <w:jc w:val="center"/>
              <w:rPr>
                <w:kern w:val="0"/>
                <w:sz w:val="18"/>
                <w:szCs w:val="18"/>
              </w:rPr>
            </w:pPr>
            <w:r>
              <w:rPr>
                <w:rFonts w:hint="eastAsia"/>
                <w:kern w:val="0"/>
                <w:sz w:val="18"/>
                <w:szCs w:val="18"/>
              </w:rPr>
              <w:t>规定的</w:t>
            </w:r>
          </w:p>
          <w:p>
            <w:pPr>
              <w:adjustRightInd w:val="0"/>
              <w:snapToGrid w:val="0"/>
              <w:jc w:val="center"/>
              <w:rPr>
                <w:kern w:val="0"/>
                <w:sz w:val="18"/>
                <w:szCs w:val="18"/>
              </w:rPr>
            </w:pPr>
            <w:r>
              <w:rPr>
                <w:rFonts w:hint="eastAsia"/>
                <w:kern w:val="0"/>
                <w:sz w:val="18"/>
                <w:szCs w:val="18"/>
              </w:rPr>
              <w:t>监测设备</w:t>
            </w:r>
          </w:p>
          <w:p>
            <w:pPr>
              <w:adjustRightInd w:val="0"/>
              <w:snapToGrid w:val="0"/>
              <w:jc w:val="center"/>
              <w:rPr>
                <w:sz w:val="18"/>
                <w:szCs w:val="18"/>
              </w:rPr>
            </w:pPr>
            <w:r>
              <w:rPr>
                <w:rFonts w:hint="eastAsia"/>
                <w:kern w:val="0"/>
                <w:sz w:val="18"/>
                <w:szCs w:val="18"/>
              </w:rPr>
              <w:t>校准频次</w:t>
            </w:r>
          </w:p>
        </w:tc>
        <w:tc>
          <w:tcPr>
            <w:tcW w:w="77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sz w:val="18"/>
                <w:szCs w:val="18"/>
              </w:rPr>
            </w:pPr>
          </w:p>
        </w:tc>
        <w:tc>
          <w:tcPr>
            <w:tcW w:w="75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sz w:val="18"/>
                <w:szCs w:val="18"/>
              </w:rPr>
            </w:pPr>
          </w:p>
        </w:tc>
        <w:tc>
          <w:tcPr>
            <w:tcW w:w="605" w:type="dxa"/>
            <w:vMerge w:val="continue"/>
            <w:tcBorders>
              <w:left w:val="single" w:color="auto" w:sz="4" w:space="0"/>
              <w:bottom w:val="single" w:color="auto" w:sz="4" w:space="0"/>
              <w:right w:val="single" w:color="auto" w:sz="4" w:space="0"/>
            </w:tcBorders>
          </w:tcPr>
          <w:p>
            <w:pPr>
              <w:widowControl/>
              <w:adjustRightInd w:val="0"/>
              <w:snapToGrid w:val="0"/>
              <w:jc w:val="lef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91" w:hRule="atLeast"/>
          <w:jc w:val="center"/>
        </w:trPr>
        <w:tc>
          <w:tcPr>
            <w:tcW w:w="14340" w:type="dxa"/>
            <w:gridSpan w:val="20"/>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adjustRightInd w:val="0"/>
              <w:snapToGrid w:val="0"/>
              <w:spacing w:line="216" w:lineRule="auto"/>
              <w:rPr>
                <w:sz w:val="18"/>
                <w:szCs w:val="18"/>
              </w:rPr>
            </w:pPr>
            <w:r>
              <w:rPr>
                <w:rFonts w:hint="eastAsia"/>
                <w:sz w:val="18"/>
                <w:szCs w:val="18"/>
              </w:rPr>
              <w:t>化石燃料种类A</w:t>
            </w:r>
            <w:r>
              <w:rPr>
                <w:sz w:val="18"/>
                <w:szCs w:val="18"/>
                <w:vertAlign w:val="superscript"/>
              </w:rPr>
              <w:footnoteReference w:id="7"/>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91"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adjustRightInd w:val="0"/>
              <w:snapToGrid w:val="0"/>
              <w:spacing w:line="216" w:lineRule="auto"/>
              <w:rPr>
                <w:kern w:val="0"/>
                <w:sz w:val="18"/>
                <w:szCs w:val="18"/>
              </w:rPr>
            </w:pPr>
            <w:r>
              <w:rPr>
                <w:rFonts w:hint="eastAsia"/>
                <w:kern w:val="0"/>
                <w:sz w:val="18"/>
                <w:szCs w:val="18"/>
              </w:rPr>
              <w:t>消耗量</w:t>
            </w:r>
          </w:p>
        </w:tc>
        <w:tc>
          <w:tcPr>
            <w:tcW w:w="660"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528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0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07"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41"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17"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91"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adjustRightInd w:val="0"/>
              <w:snapToGrid w:val="0"/>
              <w:spacing w:line="216" w:lineRule="auto"/>
              <w:rPr>
                <w:kern w:val="0"/>
                <w:sz w:val="18"/>
                <w:szCs w:val="18"/>
              </w:rPr>
            </w:pPr>
            <w:r>
              <w:rPr>
                <w:rFonts w:hint="eastAsia"/>
                <w:kern w:val="0"/>
                <w:sz w:val="18"/>
                <w:szCs w:val="18"/>
              </w:rPr>
              <w:t>低位发热值</w:t>
            </w:r>
          </w:p>
        </w:tc>
        <w:tc>
          <w:tcPr>
            <w:tcW w:w="660"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528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0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07"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41"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17"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91"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adjustRightInd w:val="0"/>
              <w:snapToGrid w:val="0"/>
              <w:spacing w:line="216" w:lineRule="auto"/>
              <w:rPr>
                <w:i/>
                <w:iCs/>
                <w:color w:val="4F81BD"/>
                <w:spacing w:val="15"/>
                <w:kern w:val="0"/>
                <w:sz w:val="18"/>
                <w:szCs w:val="18"/>
              </w:rPr>
            </w:pPr>
            <w:r>
              <w:rPr>
                <w:rFonts w:hint="eastAsia"/>
                <w:kern w:val="0"/>
                <w:sz w:val="18"/>
                <w:szCs w:val="18"/>
              </w:rPr>
              <w:t>单位热值含碳量</w:t>
            </w:r>
          </w:p>
        </w:tc>
        <w:tc>
          <w:tcPr>
            <w:tcW w:w="660"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528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0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07"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41"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17"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91"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adjustRightInd w:val="0"/>
              <w:snapToGrid w:val="0"/>
              <w:spacing w:line="216" w:lineRule="auto"/>
              <w:rPr>
                <w:kern w:val="0"/>
                <w:sz w:val="18"/>
                <w:szCs w:val="18"/>
              </w:rPr>
            </w:pPr>
            <w:r>
              <w:rPr>
                <w:rFonts w:hint="eastAsia"/>
                <w:kern w:val="0"/>
                <w:sz w:val="18"/>
                <w:szCs w:val="18"/>
              </w:rPr>
              <w:t>碳氧化率</w:t>
            </w:r>
          </w:p>
        </w:tc>
        <w:tc>
          <w:tcPr>
            <w:tcW w:w="660"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jc w:val="center"/>
              <w:rPr>
                <w:sz w:val="18"/>
                <w:szCs w:val="18"/>
              </w:rPr>
            </w:pPr>
            <w:r>
              <w:rPr>
                <w:sz w:val="18"/>
                <w:szCs w:val="18"/>
              </w:rPr>
              <w:t>%</w:t>
            </w:r>
          </w:p>
        </w:tc>
        <w:tc>
          <w:tcPr>
            <w:tcW w:w="528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0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07"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41"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17"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91" w:hRule="atLeast"/>
          <w:jc w:val="center"/>
        </w:trPr>
        <w:tc>
          <w:tcPr>
            <w:tcW w:w="14340" w:type="dxa"/>
            <w:gridSpan w:val="20"/>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adjustRightInd w:val="0"/>
              <w:snapToGrid w:val="0"/>
              <w:spacing w:line="216" w:lineRule="auto"/>
              <w:rPr>
                <w:sz w:val="18"/>
                <w:szCs w:val="18"/>
              </w:rPr>
            </w:pPr>
            <w:r>
              <w:rPr>
                <w:rFonts w:hint="eastAsia"/>
                <w:sz w:val="18"/>
                <w:szCs w:val="18"/>
              </w:rPr>
              <w:t>化石燃料种类B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91"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adjustRightInd w:val="0"/>
              <w:snapToGrid w:val="0"/>
              <w:spacing w:line="216" w:lineRule="auto"/>
              <w:rPr>
                <w:kern w:val="0"/>
                <w:sz w:val="18"/>
                <w:szCs w:val="18"/>
              </w:rPr>
            </w:pPr>
            <w:r>
              <w:rPr>
                <w:rFonts w:hint="eastAsia"/>
                <w:kern w:val="0"/>
                <w:sz w:val="18"/>
                <w:szCs w:val="18"/>
              </w:rPr>
              <w:t>消耗量</w:t>
            </w:r>
          </w:p>
        </w:tc>
        <w:tc>
          <w:tcPr>
            <w:tcW w:w="660"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528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0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07"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41"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17"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91"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adjustRightInd w:val="0"/>
              <w:snapToGrid w:val="0"/>
              <w:spacing w:line="216" w:lineRule="auto"/>
              <w:rPr>
                <w:kern w:val="0"/>
                <w:sz w:val="18"/>
                <w:szCs w:val="18"/>
              </w:rPr>
            </w:pPr>
            <w:r>
              <w:rPr>
                <w:rFonts w:hint="eastAsia"/>
                <w:kern w:val="0"/>
                <w:sz w:val="18"/>
                <w:szCs w:val="18"/>
              </w:rPr>
              <w:t>低位发热值</w:t>
            </w:r>
          </w:p>
        </w:tc>
        <w:tc>
          <w:tcPr>
            <w:tcW w:w="660"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528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0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07"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41"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17"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91"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adjustRightInd w:val="0"/>
              <w:snapToGrid w:val="0"/>
              <w:spacing w:line="216" w:lineRule="auto"/>
              <w:rPr>
                <w:kern w:val="0"/>
                <w:sz w:val="18"/>
                <w:szCs w:val="18"/>
              </w:rPr>
            </w:pPr>
            <w:r>
              <w:rPr>
                <w:rFonts w:hint="eastAsia"/>
                <w:kern w:val="0"/>
                <w:sz w:val="18"/>
                <w:szCs w:val="18"/>
              </w:rPr>
              <w:t>单位热值含碳量</w:t>
            </w:r>
          </w:p>
        </w:tc>
        <w:tc>
          <w:tcPr>
            <w:tcW w:w="660"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528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0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07"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41"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17"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91"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widowControl/>
              <w:adjustRightInd w:val="0"/>
              <w:snapToGrid w:val="0"/>
              <w:spacing w:line="216" w:lineRule="auto"/>
              <w:jc w:val="left"/>
              <w:rPr>
                <w:kern w:val="0"/>
                <w:sz w:val="18"/>
                <w:szCs w:val="18"/>
              </w:rPr>
            </w:pPr>
            <w:r>
              <w:rPr>
                <w:rFonts w:hint="eastAsia"/>
                <w:kern w:val="0"/>
                <w:sz w:val="18"/>
                <w:szCs w:val="18"/>
              </w:rPr>
              <w:t>碳氧化率</w:t>
            </w:r>
          </w:p>
        </w:tc>
        <w:tc>
          <w:tcPr>
            <w:tcW w:w="660"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r>
              <w:rPr>
                <w:sz w:val="18"/>
                <w:szCs w:val="18"/>
              </w:rPr>
              <w:t>%</w:t>
            </w:r>
          </w:p>
        </w:tc>
        <w:tc>
          <w:tcPr>
            <w:tcW w:w="528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0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07"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41"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1117"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b/>
                <w:bCs/>
                <w:color w:val="4F81BD"/>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91" w:hRule="atLeast"/>
          <w:jc w:val="center"/>
        </w:trPr>
        <w:tc>
          <w:tcPr>
            <w:tcW w:w="14340" w:type="dxa"/>
            <w:gridSpan w:val="20"/>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adjustRightInd w:val="0"/>
              <w:snapToGrid w:val="0"/>
              <w:spacing w:line="216" w:lineRule="auto"/>
              <w:rPr>
                <w:sz w:val="18"/>
                <w:szCs w:val="18"/>
              </w:rPr>
            </w:pPr>
            <w:r>
              <w:rPr>
                <w:rFonts w:hint="eastAsia"/>
                <w:sz w:val="18"/>
                <w:szCs w:val="18"/>
              </w:rPr>
              <w:t>化石燃料种类C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87"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widowControl/>
              <w:adjustRightInd w:val="0"/>
              <w:snapToGrid w:val="0"/>
              <w:spacing w:line="216" w:lineRule="auto"/>
              <w:jc w:val="left"/>
              <w:rPr>
                <w:kern w:val="0"/>
                <w:sz w:val="18"/>
                <w:szCs w:val="18"/>
              </w:rPr>
            </w:pPr>
            <w:r>
              <w:rPr>
                <w:kern w:val="0"/>
                <w:sz w:val="18"/>
                <w:szCs w:val="18"/>
              </w:rPr>
              <w:t>……</w:t>
            </w:r>
          </w:p>
        </w:tc>
        <w:tc>
          <w:tcPr>
            <w:tcW w:w="660"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528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56"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07"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141"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117"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47" w:hRule="atLeast"/>
          <w:jc w:val="center"/>
        </w:trPr>
        <w:tc>
          <w:tcPr>
            <w:tcW w:w="14340" w:type="dxa"/>
            <w:gridSpan w:val="20"/>
            <w:tcBorders>
              <w:top w:val="single" w:color="auto" w:sz="4" w:space="0"/>
              <w:left w:val="single" w:color="auto" w:sz="4" w:space="0"/>
              <w:bottom w:val="single" w:color="auto" w:sz="4" w:space="0"/>
              <w:right w:val="single" w:color="auto" w:sz="4" w:space="0"/>
            </w:tcBorders>
          </w:tcPr>
          <w:p>
            <w:pPr>
              <w:adjustRightInd w:val="0"/>
              <w:snapToGrid w:val="0"/>
              <w:rPr>
                <w:sz w:val="18"/>
                <w:szCs w:val="18"/>
              </w:rPr>
            </w:pPr>
            <w:r>
              <w:rPr>
                <w:sz w:val="18"/>
                <w:szCs w:val="18"/>
              </w:rPr>
              <w:t xml:space="preserve">D-2 </w:t>
            </w:r>
            <w:r>
              <w:rPr>
                <w:rFonts w:hint="eastAsia"/>
                <w:sz w:val="18"/>
                <w:szCs w:val="18"/>
              </w:rPr>
              <w:t>过程排放活动数据和排放因子的确定方式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77" w:hRule="atLeast"/>
          <w:jc w:val="center"/>
        </w:trPr>
        <w:tc>
          <w:tcPr>
            <w:tcW w:w="1490" w:type="dxa"/>
            <w:vMerge w:val="restart"/>
            <w:tcBorders>
              <w:top w:val="single" w:color="auto" w:sz="4" w:space="0"/>
              <w:left w:val="single" w:color="auto" w:sz="4" w:space="0"/>
              <w:right w:val="single" w:color="auto" w:sz="4" w:space="0"/>
            </w:tcBorders>
            <w:tcMar>
              <w:top w:w="15" w:type="dxa"/>
              <w:left w:w="15" w:type="dxa"/>
              <w:bottom w:w="15" w:type="dxa"/>
              <w:right w:w="15" w:type="dxa"/>
            </w:tcMar>
          </w:tcPr>
          <w:p>
            <w:pPr>
              <w:adjustRightInd w:val="0"/>
              <w:snapToGrid w:val="0"/>
              <w:jc w:val="center"/>
              <w:rPr>
                <w:sz w:val="18"/>
                <w:szCs w:val="18"/>
              </w:rPr>
            </w:pPr>
            <w:r>
              <w:rPr>
                <w:rFonts w:hint="eastAsia"/>
                <w:kern w:val="0"/>
                <w:sz w:val="18"/>
                <w:szCs w:val="18"/>
              </w:rPr>
              <w:t>过程参数</w:t>
            </w:r>
          </w:p>
        </w:tc>
        <w:tc>
          <w:tcPr>
            <w:tcW w:w="660" w:type="dxa"/>
            <w:gridSpan w:val="2"/>
            <w:vMerge w:val="restart"/>
            <w:tcBorders>
              <w:top w:val="single" w:color="auto" w:sz="4" w:space="0"/>
              <w:left w:val="single" w:color="auto" w:sz="4" w:space="0"/>
              <w:bottom w:val="single" w:color="auto" w:sz="4" w:space="0"/>
              <w:right w:val="single" w:color="auto" w:sz="4" w:space="0"/>
            </w:tcBorders>
          </w:tcPr>
          <w:p>
            <w:pPr>
              <w:adjustRightInd w:val="0"/>
              <w:snapToGrid w:val="0"/>
              <w:jc w:val="center"/>
              <w:rPr>
                <w:sz w:val="18"/>
                <w:szCs w:val="18"/>
              </w:rPr>
            </w:pPr>
            <w:r>
              <w:rPr>
                <w:rFonts w:hint="eastAsia"/>
                <w:kern w:val="0"/>
                <w:sz w:val="18"/>
                <w:szCs w:val="18"/>
              </w:rPr>
              <w:t>单位</w:t>
            </w:r>
          </w:p>
        </w:tc>
        <w:tc>
          <w:tcPr>
            <w:tcW w:w="5283" w:type="dxa"/>
            <w:gridSpan w:val="2"/>
            <w:vMerge w:val="restart"/>
            <w:tcBorders>
              <w:top w:val="single" w:color="auto" w:sz="4" w:space="0"/>
              <w:left w:val="single" w:color="auto" w:sz="4" w:space="0"/>
              <w:bottom w:val="single" w:color="auto" w:sz="4" w:space="0"/>
              <w:right w:val="single" w:color="auto" w:sz="4" w:space="0"/>
            </w:tcBorders>
          </w:tcPr>
          <w:p>
            <w:pPr>
              <w:adjustRightInd w:val="0"/>
              <w:snapToGrid w:val="0"/>
              <w:jc w:val="center"/>
              <w:rPr>
                <w:kern w:val="0"/>
                <w:sz w:val="18"/>
                <w:szCs w:val="18"/>
              </w:rPr>
            </w:pPr>
            <w:r>
              <w:rPr>
                <w:rFonts w:hint="eastAsia"/>
                <w:kern w:val="0"/>
                <w:sz w:val="18"/>
                <w:szCs w:val="18"/>
              </w:rPr>
              <w:t>数据的计算方法及获取方式</w:t>
            </w:r>
            <w:r>
              <w:rPr>
                <w:kern w:val="0"/>
                <w:sz w:val="18"/>
                <w:szCs w:val="18"/>
                <w:vertAlign w:val="superscript"/>
              </w:rPr>
              <w:footnoteReference w:id="8"/>
            </w:r>
          </w:p>
          <w:p>
            <w:pPr>
              <w:adjustRightInd w:val="0"/>
              <w:snapToGrid w:val="0"/>
              <w:spacing w:line="200" w:lineRule="exact"/>
              <w:ind w:left="420"/>
              <w:jc w:val="left"/>
              <w:rPr>
                <w:sz w:val="18"/>
                <w:szCs w:val="18"/>
              </w:rPr>
            </w:pPr>
            <w:r>
              <w:rPr>
                <w:rFonts w:hint="eastAsia"/>
                <w:sz w:val="18"/>
                <w:szCs w:val="18"/>
              </w:rPr>
              <w:t>选取以下获取方式：</w:t>
            </w:r>
          </w:p>
          <w:p>
            <w:pPr>
              <w:numPr>
                <w:ilvl w:val="0"/>
                <w:numId w:val="29"/>
              </w:numPr>
              <w:adjustRightInd w:val="0"/>
              <w:snapToGrid w:val="0"/>
              <w:spacing w:line="200" w:lineRule="exact"/>
              <w:jc w:val="left"/>
              <w:rPr>
                <w:sz w:val="18"/>
                <w:szCs w:val="18"/>
              </w:rPr>
            </w:pPr>
            <w:r>
              <w:rPr>
                <w:rFonts w:hint="eastAsia"/>
                <w:sz w:val="18"/>
                <w:szCs w:val="18"/>
              </w:rPr>
              <w:t>实测值（如是，请具体填报时，采用在表下加备注的方式写明具体方法和标准）；</w:t>
            </w:r>
          </w:p>
          <w:p>
            <w:pPr>
              <w:numPr>
                <w:ilvl w:val="0"/>
                <w:numId w:val="29"/>
              </w:numPr>
              <w:adjustRightInd w:val="0"/>
              <w:snapToGrid w:val="0"/>
              <w:spacing w:line="200" w:lineRule="exact"/>
              <w:jc w:val="left"/>
              <w:rPr>
                <w:sz w:val="18"/>
                <w:szCs w:val="18"/>
              </w:rPr>
            </w:pPr>
            <w:r>
              <w:rPr>
                <w:rFonts w:hint="eastAsia"/>
                <w:sz w:val="18"/>
                <w:szCs w:val="18"/>
              </w:rPr>
              <w:t>缺省值（如是，请填写具体数值）；</w:t>
            </w:r>
          </w:p>
          <w:p>
            <w:pPr>
              <w:numPr>
                <w:ilvl w:val="0"/>
                <w:numId w:val="29"/>
              </w:numPr>
              <w:adjustRightInd w:val="0"/>
              <w:snapToGrid w:val="0"/>
              <w:spacing w:line="200" w:lineRule="exact"/>
              <w:jc w:val="left"/>
              <w:rPr>
                <w:sz w:val="18"/>
                <w:szCs w:val="18"/>
              </w:rPr>
            </w:pPr>
            <w:r>
              <w:rPr>
                <w:rFonts w:hint="eastAsia"/>
                <w:sz w:val="18"/>
                <w:szCs w:val="18"/>
              </w:rPr>
              <w:t>相关方结算凭证（如是，请具体填报时，采用在表下加备注的方式填写如何确保供应商数据质量）；</w:t>
            </w:r>
          </w:p>
          <w:p>
            <w:pPr>
              <w:numPr>
                <w:ilvl w:val="0"/>
                <w:numId w:val="29"/>
              </w:numPr>
              <w:adjustRightInd w:val="0"/>
              <w:snapToGrid w:val="0"/>
              <w:spacing w:line="200" w:lineRule="exact"/>
              <w:jc w:val="left"/>
              <w:rPr>
                <w:i/>
                <w:sz w:val="18"/>
                <w:szCs w:val="18"/>
              </w:rPr>
            </w:pPr>
            <w:r>
              <w:rPr>
                <w:rFonts w:hint="eastAsia"/>
                <w:sz w:val="18"/>
                <w:szCs w:val="18"/>
              </w:rPr>
              <w:t>其他方式（如是，请具体填报时，采用在表下加备注的方式详细描述）。</w:t>
            </w:r>
          </w:p>
        </w:tc>
        <w:tc>
          <w:tcPr>
            <w:tcW w:w="4777" w:type="dxa"/>
            <w:gridSpan w:val="10"/>
            <w:tcBorders>
              <w:top w:val="single" w:color="auto" w:sz="4" w:space="0"/>
              <w:left w:val="single" w:color="auto" w:sz="4" w:space="0"/>
              <w:bottom w:val="single" w:color="auto" w:sz="4" w:space="0"/>
              <w:right w:val="single" w:color="auto" w:sz="4" w:space="0"/>
            </w:tcBorders>
          </w:tcPr>
          <w:p>
            <w:pPr>
              <w:adjustRightInd w:val="0"/>
              <w:snapToGrid w:val="0"/>
              <w:jc w:val="center"/>
              <w:rPr>
                <w:sz w:val="18"/>
                <w:szCs w:val="18"/>
              </w:rPr>
            </w:pPr>
            <w:r>
              <w:rPr>
                <w:rFonts w:hint="eastAsia"/>
                <w:sz w:val="18"/>
                <w:szCs w:val="18"/>
              </w:rPr>
              <w:t>测量设备（适用于数据获取方式来源于实测值）</w:t>
            </w:r>
          </w:p>
        </w:tc>
        <w:tc>
          <w:tcPr>
            <w:tcW w:w="770" w:type="dxa"/>
            <w:gridSpan w:val="3"/>
            <w:vMerge w:val="restart"/>
            <w:tcBorders>
              <w:top w:val="single" w:color="auto" w:sz="4" w:space="0"/>
              <w:left w:val="single" w:color="auto" w:sz="4" w:space="0"/>
              <w:bottom w:val="single" w:color="auto" w:sz="4" w:space="0"/>
              <w:right w:val="single" w:color="auto" w:sz="4" w:space="0"/>
            </w:tcBorders>
          </w:tcPr>
          <w:p>
            <w:pPr>
              <w:adjustRightInd w:val="0"/>
              <w:snapToGrid w:val="0"/>
              <w:jc w:val="center"/>
              <w:rPr>
                <w:sz w:val="18"/>
                <w:szCs w:val="18"/>
              </w:rPr>
            </w:pPr>
            <w:r>
              <w:rPr>
                <w:rFonts w:hint="eastAsia"/>
                <w:kern w:val="0"/>
                <w:sz w:val="18"/>
                <w:szCs w:val="18"/>
              </w:rPr>
              <w:t>数据记录频次</w:t>
            </w:r>
          </w:p>
        </w:tc>
        <w:tc>
          <w:tcPr>
            <w:tcW w:w="755" w:type="dxa"/>
            <w:vMerge w:val="restart"/>
            <w:tcBorders>
              <w:top w:val="single" w:color="auto" w:sz="4" w:space="0"/>
              <w:left w:val="single" w:color="auto" w:sz="4" w:space="0"/>
              <w:right w:val="single" w:color="auto" w:sz="4" w:space="0"/>
            </w:tcBorders>
          </w:tcPr>
          <w:p>
            <w:pPr>
              <w:adjustRightInd w:val="0"/>
              <w:snapToGrid w:val="0"/>
              <w:jc w:val="center"/>
              <w:rPr>
                <w:sz w:val="18"/>
                <w:szCs w:val="18"/>
              </w:rPr>
            </w:pPr>
            <w:r>
              <w:rPr>
                <w:rFonts w:hint="eastAsia"/>
                <w:kern w:val="0"/>
                <w:sz w:val="18"/>
                <w:szCs w:val="18"/>
              </w:rPr>
              <w:t>数据缺失时的处理方式</w:t>
            </w:r>
          </w:p>
        </w:tc>
        <w:tc>
          <w:tcPr>
            <w:tcW w:w="605" w:type="dxa"/>
            <w:vMerge w:val="restart"/>
            <w:tcBorders>
              <w:top w:val="single" w:color="auto" w:sz="4" w:space="0"/>
              <w:left w:val="single" w:color="auto" w:sz="4" w:space="0"/>
              <w:bottom w:val="single" w:color="auto" w:sz="4" w:space="0"/>
              <w:right w:val="single" w:color="auto" w:sz="4" w:space="0"/>
            </w:tcBorders>
          </w:tcPr>
          <w:p>
            <w:pPr>
              <w:adjustRightInd w:val="0"/>
              <w:snapToGrid w:val="0"/>
              <w:jc w:val="center"/>
              <w:rPr>
                <w:sz w:val="18"/>
                <w:szCs w:val="18"/>
              </w:rPr>
            </w:pPr>
            <w:r>
              <w:rPr>
                <w:rFonts w:hint="eastAsia"/>
                <w:sz w:val="18"/>
                <w:szCs w:val="18"/>
              </w:rPr>
              <w:t>数据获取负责部门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1613" w:hRule="atLeast"/>
          <w:jc w:val="center"/>
        </w:trPr>
        <w:tc>
          <w:tcPr>
            <w:tcW w:w="1490" w:type="dxa"/>
            <w:vMerge w:val="continue"/>
            <w:tcBorders>
              <w:left w:val="single" w:color="auto" w:sz="4" w:space="0"/>
              <w:bottom w:val="single" w:color="auto" w:sz="4" w:space="0"/>
              <w:right w:val="single" w:color="auto" w:sz="4" w:space="0"/>
            </w:tcBorders>
            <w:vAlign w:val="center"/>
          </w:tcPr>
          <w:p>
            <w:pPr>
              <w:widowControl/>
              <w:adjustRightInd w:val="0"/>
              <w:snapToGrid w:val="0"/>
              <w:jc w:val="left"/>
              <w:rPr>
                <w:sz w:val="18"/>
                <w:szCs w:val="18"/>
              </w:rPr>
            </w:pPr>
          </w:p>
        </w:tc>
        <w:tc>
          <w:tcPr>
            <w:tcW w:w="6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sz w:val="18"/>
                <w:szCs w:val="18"/>
              </w:rPr>
            </w:pPr>
          </w:p>
        </w:tc>
        <w:tc>
          <w:tcPr>
            <w:tcW w:w="52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i/>
                <w:sz w:val="18"/>
                <w:szCs w:val="18"/>
              </w:rPr>
            </w:pPr>
          </w:p>
        </w:tc>
        <w:tc>
          <w:tcPr>
            <w:tcW w:w="710" w:type="dxa"/>
            <w:tcBorders>
              <w:top w:val="single" w:color="auto" w:sz="4" w:space="0"/>
              <w:left w:val="single" w:color="auto" w:sz="4" w:space="0"/>
              <w:bottom w:val="single" w:color="auto" w:sz="4" w:space="0"/>
              <w:right w:val="single" w:color="auto" w:sz="4" w:space="0"/>
            </w:tcBorders>
          </w:tcPr>
          <w:p>
            <w:pPr>
              <w:adjustRightInd w:val="0"/>
              <w:snapToGrid w:val="0"/>
              <w:jc w:val="center"/>
              <w:rPr>
                <w:sz w:val="18"/>
                <w:szCs w:val="18"/>
              </w:rPr>
            </w:pPr>
            <w:r>
              <w:rPr>
                <w:rFonts w:hint="eastAsia"/>
                <w:kern w:val="0"/>
                <w:sz w:val="18"/>
                <w:szCs w:val="18"/>
              </w:rPr>
              <w:t>监测设备及型号</w:t>
            </w:r>
          </w:p>
        </w:tc>
        <w:tc>
          <w:tcPr>
            <w:tcW w:w="1053" w:type="dxa"/>
            <w:gridSpan w:val="2"/>
            <w:tcBorders>
              <w:top w:val="single" w:color="auto" w:sz="4" w:space="0"/>
              <w:left w:val="single" w:color="auto" w:sz="4" w:space="0"/>
              <w:bottom w:val="single" w:color="auto" w:sz="4" w:space="0"/>
              <w:right w:val="single" w:color="auto" w:sz="4" w:space="0"/>
            </w:tcBorders>
          </w:tcPr>
          <w:p>
            <w:pPr>
              <w:adjustRightInd w:val="0"/>
              <w:snapToGrid w:val="0"/>
              <w:jc w:val="center"/>
              <w:rPr>
                <w:kern w:val="0"/>
                <w:sz w:val="18"/>
                <w:szCs w:val="18"/>
              </w:rPr>
            </w:pPr>
            <w:r>
              <w:rPr>
                <w:rFonts w:hint="eastAsia"/>
                <w:kern w:val="0"/>
                <w:sz w:val="18"/>
                <w:szCs w:val="18"/>
              </w:rPr>
              <w:t>监测设备</w:t>
            </w:r>
          </w:p>
          <w:p>
            <w:pPr>
              <w:adjustRightInd w:val="0"/>
              <w:snapToGrid w:val="0"/>
              <w:jc w:val="center"/>
              <w:rPr>
                <w:sz w:val="18"/>
                <w:szCs w:val="18"/>
              </w:rPr>
            </w:pPr>
            <w:r>
              <w:rPr>
                <w:rFonts w:hint="eastAsia"/>
                <w:kern w:val="0"/>
                <w:sz w:val="18"/>
                <w:szCs w:val="18"/>
              </w:rPr>
              <w:t>安装位置</w:t>
            </w:r>
          </w:p>
        </w:tc>
        <w:tc>
          <w:tcPr>
            <w:tcW w:w="784" w:type="dxa"/>
            <w:gridSpan w:val="4"/>
            <w:tcBorders>
              <w:top w:val="single" w:color="auto" w:sz="4" w:space="0"/>
              <w:left w:val="single" w:color="auto" w:sz="4" w:space="0"/>
              <w:bottom w:val="single" w:color="auto" w:sz="4" w:space="0"/>
              <w:right w:val="single" w:color="auto" w:sz="4" w:space="0"/>
            </w:tcBorders>
          </w:tcPr>
          <w:p>
            <w:pPr>
              <w:adjustRightInd w:val="0"/>
              <w:snapToGrid w:val="0"/>
              <w:jc w:val="center"/>
              <w:rPr>
                <w:kern w:val="0"/>
                <w:sz w:val="18"/>
                <w:szCs w:val="18"/>
              </w:rPr>
            </w:pPr>
            <w:r>
              <w:rPr>
                <w:rFonts w:hint="eastAsia"/>
                <w:kern w:val="0"/>
                <w:sz w:val="18"/>
                <w:szCs w:val="18"/>
              </w:rPr>
              <w:t>监测</w:t>
            </w:r>
          </w:p>
          <w:p>
            <w:pPr>
              <w:adjustRightInd w:val="0"/>
              <w:snapToGrid w:val="0"/>
              <w:jc w:val="center"/>
              <w:rPr>
                <w:sz w:val="18"/>
                <w:szCs w:val="18"/>
              </w:rPr>
            </w:pPr>
            <w:r>
              <w:rPr>
                <w:rFonts w:hint="eastAsia"/>
                <w:kern w:val="0"/>
                <w:sz w:val="18"/>
                <w:szCs w:val="18"/>
              </w:rPr>
              <w:t>频次</w:t>
            </w:r>
          </w:p>
        </w:tc>
        <w:tc>
          <w:tcPr>
            <w:tcW w:w="1025" w:type="dxa"/>
            <w:tcBorders>
              <w:top w:val="single" w:color="auto" w:sz="4" w:space="0"/>
              <w:left w:val="single" w:color="auto" w:sz="4" w:space="0"/>
              <w:bottom w:val="single" w:color="auto" w:sz="4" w:space="0"/>
              <w:right w:val="single" w:color="auto" w:sz="4" w:space="0"/>
            </w:tcBorders>
          </w:tcPr>
          <w:p>
            <w:pPr>
              <w:adjustRightInd w:val="0"/>
              <w:snapToGrid w:val="0"/>
              <w:jc w:val="center"/>
              <w:rPr>
                <w:kern w:val="0"/>
                <w:sz w:val="18"/>
                <w:szCs w:val="18"/>
              </w:rPr>
            </w:pPr>
            <w:r>
              <w:rPr>
                <w:rFonts w:hint="eastAsia"/>
                <w:kern w:val="0"/>
                <w:sz w:val="18"/>
                <w:szCs w:val="18"/>
              </w:rPr>
              <w:t>监测设备</w:t>
            </w:r>
          </w:p>
          <w:p>
            <w:pPr>
              <w:adjustRightInd w:val="0"/>
              <w:snapToGrid w:val="0"/>
              <w:jc w:val="center"/>
              <w:rPr>
                <w:kern w:val="0"/>
                <w:sz w:val="18"/>
                <w:szCs w:val="18"/>
              </w:rPr>
            </w:pPr>
            <w:r>
              <w:rPr>
                <w:rFonts w:hint="eastAsia"/>
                <w:kern w:val="0"/>
                <w:sz w:val="18"/>
                <w:szCs w:val="18"/>
              </w:rPr>
              <w:t>精度</w:t>
            </w:r>
          </w:p>
        </w:tc>
        <w:tc>
          <w:tcPr>
            <w:tcW w:w="1205" w:type="dxa"/>
            <w:gridSpan w:val="2"/>
            <w:tcBorders>
              <w:top w:val="single" w:color="auto" w:sz="4" w:space="0"/>
              <w:left w:val="single" w:color="auto" w:sz="4" w:space="0"/>
              <w:bottom w:val="single" w:color="auto" w:sz="4" w:space="0"/>
              <w:right w:val="single" w:color="auto" w:sz="4" w:space="0"/>
            </w:tcBorders>
          </w:tcPr>
          <w:p>
            <w:pPr>
              <w:adjustRightInd w:val="0"/>
              <w:snapToGrid w:val="0"/>
              <w:jc w:val="center"/>
              <w:rPr>
                <w:kern w:val="0"/>
                <w:sz w:val="18"/>
                <w:szCs w:val="18"/>
              </w:rPr>
            </w:pPr>
            <w:r>
              <w:rPr>
                <w:rFonts w:hint="eastAsia"/>
                <w:kern w:val="0"/>
                <w:sz w:val="18"/>
                <w:szCs w:val="18"/>
              </w:rPr>
              <w:t>规定的</w:t>
            </w:r>
          </w:p>
          <w:p>
            <w:pPr>
              <w:adjustRightInd w:val="0"/>
              <w:snapToGrid w:val="0"/>
              <w:jc w:val="center"/>
              <w:rPr>
                <w:kern w:val="0"/>
                <w:sz w:val="18"/>
                <w:szCs w:val="18"/>
              </w:rPr>
            </w:pPr>
            <w:r>
              <w:rPr>
                <w:rFonts w:hint="eastAsia"/>
                <w:kern w:val="0"/>
                <w:sz w:val="18"/>
                <w:szCs w:val="18"/>
              </w:rPr>
              <w:t>监测设备</w:t>
            </w:r>
          </w:p>
          <w:p>
            <w:pPr>
              <w:adjustRightInd w:val="0"/>
              <w:snapToGrid w:val="0"/>
              <w:jc w:val="center"/>
              <w:rPr>
                <w:sz w:val="18"/>
                <w:szCs w:val="18"/>
              </w:rPr>
            </w:pPr>
            <w:r>
              <w:rPr>
                <w:rFonts w:hint="eastAsia"/>
                <w:kern w:val="0"/>
                <w:sz w:val="18"/>
                <w:szCs w:val="18"/>
              </w:rPr>
              <w:t>校准频次</w:t>
            </w:r>
          </w:p>
        </w:tc>
        <w:tc>
          <w:tcPr>
            <w:tcW w:w="77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sz w:val="18"/>
                <w:szCs w:val="18"/>
              </w:rPr>
            </w:pPr>
          </w:p>
        </w:tc>
        <w:tc>
          <w:tcPr>
            <w:tcW w:w="755" w:type="dxa"/>
            <w:vMerge w:val="continue"/>
            <w:tcBorders>
              <w:left w:val="single" w:color="auto" w:sz="4" w:space="0"/>
              <w:bottom w:val="single" w:color="auto" w:sz="4" w:space="0"/>
              <w:right w:val="single" w:color="auto" w:sz="4" w:space="0"/>
            </w:tcBorders>
          </w:tcPr>
          <w:p>
            <w:pPr>
              <w:widowControl/>
              <w:adjustRightInd w:val="0"/>
              <w:snapToGrid w:val="0"/>
              <w:jc w:val="left"/>
              <w:rPr>
                <w:sz w:val="18"/>
                <w:szCs w:val="18"/>
              </w:rPr>
            </w:pPr>
          </w:p>
        </w:tc>
        <w:tc>
          <w:tcPr>
            <w:tcW w:w="60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23" w:hRule="atLeast"/>
          <w:jc w:val="center"/>
        </w:trPr>
        <w:tc>
          <w:tcPr>
            <w:tcW w:w="14340" w:type="dxa"/>
            <w:gridSpan w:val="20"/>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r>
              <w:rPr>
                <w:rFonts w:hint="eastAsia"/>
                <w:sz w:val="18"/>
                <w:szCs w:val="18"/>
              </w:rPr>
              <w:t>过程排放：（按照相应行业核算方法与报告要求标准中核算方法的排放种类填写）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58"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jc w:val="center"/>
              <w:rPr>
                <w:rFonts w:hint="default" w:eastAsia="宋体"/>
                <w:kern w:val="0"/>
                <w:sz w:val="18"/>
                <w:szCs w:val="18"/>
                <w:lang w:val="en-US" w:eastAsia="zh-CN"/>
              </w:rPr>
            </w:pPr>
            <w:r>
              <w:rPr>
                <w:rFonts w:hint="eastAsia"/>
                <w:kern w:val="0"/>
                <w:sz w:val="18"/>
                <w:szCs w:val="18"/>
                <w:lang w:val="en-US" w:eastAsia="zh-CN"/>
              </w:rPr>
              <w:t>石灰石消耗量</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sz w:val="18"/>
                <w:szCs w:val="18"/>
              </w:rPr>
              <w:t>t</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实测值</w:t>
            </w:r>
          </w:p>
        </w:tc>
        <w:tc>
          <w:tcPr>
            <w:tcW w:w="710"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5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84"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2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205"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58"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adjustRightInd w:val="0"/>
              <w:jc w:val="center"/>
              <w:rPr>
                <w:rFonts w:hint="default" w:eastAsia="宋体"/>
                <w:kern w:val="0"/>
                <w:sz w:val="18"/>
                <w:szCs w:val="18"/>
                <w:lang w:val="en-US" w:eastAsia="zh-CN"/>
              </w:rPr>
            </w:pPr>
            <w:r>
              <w:rPr>
                <w:rFonts w:hint="eastAsia"/>
                <w:kern w:val="0"/>
                <w:sz w:val="18"/>
                <w:szCs w:val="18"/>
                <w:lang w:val="en-US" w:eastAsia="zh-CN"/>
              </w:rPr>
              <w:t>石灰石中碳酸盐种类及含量</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adjustRightInd w:val="0"/>
              <w:jc w:val="center"/>
              <w:rPr>
                <w:kern w:val="0"/>
                <w:sz w:val="18"/>
                <w:szCs w:val="18"/>
              </w:rPr>
            </w:pPr>
            <w:r>
              <w:rPr>
                <w:sz w:val="18"/>
                <w:szCs w:val="18"/>
              </w:rPr>
              <w:t>%</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adjustRightInd w:val="0"/>
              <w:jc w:val="left"/>
              <w:rPr>
                <w:sz w:val="18"/>
                <w:szCs w:val="18"/>
              </w:rPr>
            </w:pPr>
            <w:r>
              <w:rPr>
                <w:rFonts w:hint="eastAsia"/>
                <w:sz w:val="18"/>
                <w:szCs w:val="18"/>
              </w:rPr>
              <w:t>实测值</w:t>
            </w:r>
          </w:p>
        </w:tc>
        <w:tc>
          <w:tcPr>
            <w:tcW w:w="710"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5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84"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2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205"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58"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adjustRightInd w:val="0"/>
              <w:jc w:val="center"/>
              <w:rPr>
                <w:rFonts w:hint="default" w:eastAsia="宋体"/>
                <w:kern w:val="0"/>
                <w:sz w:val="18"/>
                <w:szCs w:val="18"/>
                <w:lang w:val="en-US" w:eastAsia="zh-CN"/>
              </w:rPr>
            </w:pPr>
            <w:r>
              <w:rPr>
                <w:rFonts w:hint="eastAsia"/>
                <w:kern w:val="0"/>
                <w:sz w:val="18"/>
                <w:szCs w:val="18"/>
                <w:lang w:val="en-US" w:eastAsia="zh-CN"/>
              </w:rPr>
              <w:t>石灰石中碳酸盐的煅烧比例</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adjustRightInd w:val="0"/>
              <w:jc w:val="center"/>
              <w:rPr>
                <w:kern w:val="0"/>
                <w:sz w:val="18"/>
                <w:szCs w:val="18"/>
              </w:rPr>
            </w:pPr>
            <w:r>
              <w:rPr>
                <w:sz w:val="18"/>
                <w:szCs w:val="18"/>
              </w:rPr>
              <w:t>%</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adjustRightInd w:val="0"/>
              <w:jc w:val="left"/>
              <w:rPr>
                <w:sz w:val="18"/>
                <w:szCs w:val="18"/>
              </w:rPr>
            </w:pPr>
            <w:r>
              <w:rPr>
                <w:rFonts w:hint="eastAsia"/>
                <w:sz w:val="18"/>
                <w:szCs w:val="18"/>
              </w:rPr>
              <w:t>实测值</w:t>
            </w:r>
          </w:p>
        </w:tc>
        <w:tc>
          <w:tcPr>
            <w:tcW w:w="710"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5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84"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2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205"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58"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adjustRightInd w:val="0"/>
              <w:jc w:val="center"/>
              <w:rPr>
                <w:rFonts w:hint="default"/>
                <w:kern w:val="0"/>
                <w:sz w:val="18"/>
                <w:szCs w:val="18"/>
                <w:lang w:val="en-US"/>
              </w:rPr>
            </w:pPr>
            <w:r>
              <w:rPr>
                <w:rFonts w:hint="eastAsia"/>
                <w:sz w:val="18"/>
                <w:szCs w:val="18"/>
                <w:lang w:val="en-US" w:eastAsia="zh-CN"/>
              </w:rPr>
              <w:t>石灰石中碳酸盐的碳排放因子</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adjustRightInd w:val="0"/>
              <w:jc w:val="center"/>
              <w:rPr>
                <w:rFonts w:hint="default" w:eastAsia="宋体"/>
                <w:kern w:val="0"/>
                <w:sz w:val="18"/>
                <w:szCs w:val="18"/>
                <w:lang w:val="en-US" w:eastAsia="zh-CN"/>
              </w:rPr>
            </w:pPr>
            <w:r>
              <w:rPr>
                <w:rFonts w:hint="eastAsia"/>
                <w:kern w:val="0"/>
                <w:sz w:val="18"/>
                <w:szCs w:val="18"/>
                <w:lang w:val="en-US" w:eastAsia="zh-CN"/>
              </w:rPr>
              <w:t>tCO</w:t>
            </w:r>
            <w:r>
              <w:rPr>
                <w:rFonts w:hint="eastAsia"/>
                <w:kern w:val="0"/>
                <w:sz w:val="18"/>
                <w:szCs w:val="18"/>
                <w:vertAlign w:val="subscript"/>
                <w:lang w:val="en-US" w:eastAsia="zh-CN"/>
              </w:rPr>
              <w:t>2</w:t>
            </w:r>
            <w:r>
              <w:rPr>
                <w:rFonts w:hint="eastAsia"/>
                <w:kern w:val="0"/>
                <w:sz w:val="18"/>
                <w:szCs w:val="18"/>
                <w:lang w:val="en-US" w:eastAsia="zh-CN"/>
              </w:rPr>
              <w:t>/t</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adjustRightInd w:val="0"/>
              <w:jc w:val="left"/>
              <w:rPr>
                <w:sz w:val="18"/>
                <w:szCs w:val="18"/>
              </w:rPr>
            </w:pPr>
            <w:r>
              <w:rPr>
                <w:rFonts w:hint="eastAsia"/>
                <w:sz w:val="18"/>
                <w:szCs w:val="18"/>
              </w:rPr>
              <w:t>计算值</w:t>
            </w:r>
          </w:p>
        </w:tc>
        <w:tc>
          <w:tcPr>
            <w:tcW w:w="710"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5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84"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2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205"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68"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adjustRightInd w:val="0"/>
              <w:jc w:val="center"/>
              <w:rPr>
                <w:kern w:val="0"/>
                <w:sz w:val="18"/>
                <w:szCs w:val="18"/>
              </w:rPr>
            </w:pPr>
            <w:r>
              <w:rPr>
                <w:rFonts w:hint="eastAsia"/>
                <w:sz w:val="18"/>
                <w:szCs w:val="18"/>
              </w:rPr>
              <w:t>……</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adjustRightInd w:val="0"/>
              <w:jc w:val="left"/>
              <w:rPr>
                <w:kern w:val="0"/>
                <w:sz w:val="18"/>
                <w:szCs w:val="18"/>
              </w:rPr>
            </w:pPr>
            <w:r>
              <w:rPr>
                <w:rFonts w:hint="eastAsia"/>
                <w:sz w:val="18"/>
                <w:szCs w:val="18"/>
              </w:rPr>
              <w:t>……</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adjustRightInd w:val="0"/>
              <w:rPr>
                <w:sz w:val="18"/>
                <w:szCs w:val="18"/>
              </w:rPr>
            </w:pPr>
            <w:r>
              <w:rPr>
                <w:rFonts w:hint="eastAsia"/>
                <w:sz w:val="18"/>
                <w:szCs w:val="18"/>
              </w:rPr>
              <w:t>……</w:t>
            </w:r>
          </w:p>
        </w:tc>
        <w:tc>
          <w:tcPr>
            <w:tcW w:w="710"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5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84"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2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205"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22"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adjustRightInd w:val="0"/>
              <w:jc w:val="center"/>
              <w:rPr>
                <w:rFonts w:hint="default" w:eastAsia="宋体"/>
                <w:kern w:val="0"/>
                <w:sz w:val="18"/>
                <w:szCs w:val="18"/>
                <w:lang w:val="en-US" w:eastAsia="zh-CN"/>
              </w:rPr>
            </w:pPr>
            <w:r>
              <w:rPr>
                <w:rFonts w:hint="eastAsia"/>
                <w:kern w:val="0"/>
                <w:sz w:val="18"/>
                <w:szCs w:val="18"/>
                <w:lang w:val="en-US" w:eastAsia="zh-CN"/>
              </w:rPr>
              <w:t>碳粉消耗量</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adjustRightInd w:val="0"/>
              <w:jc w:val="center"/>
              <w:rPr>
                <w:kern w:val="0"/>
                <w:sz w:val="18"/>
                <w:szCs w:val="18"/>
              </w:rPr>
            </w:pPr>
            <w:r>
              <w:rPr>
                <w:rFonts w:hint="eastAsia"/>
                <w:kern w:val="0"/>
                <w:sz w:val="18"/>
                <w:szCs w:val="18"/>
                <w:lang w:val="en-US" w:eastAsia="zh-CN"/>
              </w:rPr>
              <w:t>t</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adjustRightInd w:val="0"/>
              <w:jc w:val="left"/>
              <w:rPr>
                <w:rFonts w:hint="default" w:eastAsia="宋体"/>
                <w:sz w:val="18"/>
                <w:szCs w:val="18"/>
                <w:lang w:val="en-US" w:eastAsia="zh-CN"/>
              </w:rPr>
            </w:pPr>
            <w:r>
              <w:rPr>
                <w:rFonts w:hint="eastAsia"/>
                <w:sz w:val="18"/>
                <w:szCs w:val="18"/>
                <w:lang w:val="en-US" w:eastAsia="zh-CN"/>
              </w:rPr>
              <w:t>实测值</w:t>
            </w:r>
          </w:p>
        </w:tc>
        <w:tc>
          <w:tcPr>
            <w:tcW w:w="710"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5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84"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2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205"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90"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adjustRightInd w:val="0"/>
              <w:jc w:val="center"/>
              <w:rPr>
                <w:rFonts w:hint="default" w:eastAsia="宋体"/>
                <w:kern w:val="0"/>
                <w:sz w:val="18"/>
                <w:szCs w:val="18"/>
                <w:lang w:val="en-US" w:eastAsia="zh-CN"/>
              </w:rPr>
            </w:pPr>
            <w:r>
              <w:rPr>
                <w:rFonts w:hint="eastAsia"/>
                <w:kern w:val="0"/>
                <w:sz w:val="18"/>
                <w:szCs w:val="18"/>
                <w:lang w:val="en-US" w:eastAsia="zh-CN"/>
              </w:rPr>
              <w:t>碳粉含碳量</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adjustRightInd w:val="0"/>
              <w:jc w:val="center"/>
              <w:rPr>
                <w:rFonts w:hint="eastAsia" w:eastAsia="宋体"/>
                <w:kern w:val="0"/>
                <w:sz w:val="18"/>
                <w:szCs w:val="18"/>
                <w:lang w:val="en-US" w:eastAsia="zh-CN"/>
              </w:rPr>
            </w:pPr>
            <w:r>
              <w:rPr>
                <w:rFonts w:hint="eastAsia"/>
                <w:kern w:val="0"/>
                <w:sz w:val="18"/>
                <w:szCs w:val="18"/>
                <w:lang w:val="en-US" w:eastAsia="zh-CN"/>
              </w:rPr>
              <w:t>%</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adjustRightInd w:val="0"/>
              <w:jc w:val="left"/>
              <w:rPr>
                <w:rFonts w:hint="eastAsia" w:eastAsia="宋体"/>
                <w:sz w:val="18"/>
                <w:szCs w:val="18"/>
                <w:lang w:val="en-US" w:eastAsia="zh-CN"/>
              </w:rPr>
            </w:pPr>
            <w:r>
              <w:rPr>
                <w:rFonts w:hint="eastAsia"/>
                <w:sz w:val="18"/>
                <w:szCs w:val="18"/>
                <w:lang w:val="en-US" w:eastAsia="zh-CN"/>
              </w:rPr>
              <w:t>实测值</w:t>
            </w:r>
          </w:p>
        </w:tc>
        <w:tc>
          <w:tcPr>
            <w:tcW w:w="710"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5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84"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2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205"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154"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adjustRightInd w:val="0"/>
              <w:jc w:val="center"/>
              <w:rPr>
                <w:rFonts w:hint="default" w:eastAsia="宋体"/>
                <w:kern w:val="0"/>
                <w:sz w:val="18"/>
                <w:szCs w:val="18"/>
                <w:lang w:val="en-US" w:eastAsia="zh-CN"/>
              </w:rPr>
            </w:pPr>
            <w:r>
              <w:rPr>
                <w:rFonts w:hint="eastAsia"/>
                <w:kern w:val="0"/>
                <w:sz w:val="18"/>
                <w:szCs w:val="18"/>
                <w:lang w:val="en-US" w:eastAsia="zh-CN"/>
              </w:rPr>
              <w:t>碳氧化率</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adjustRightInd w:val="0"/>
              <w:jc w:val="center"/>
              <w:rPr>
                <w:rFonts w:hint="eastAsia" w:eastAsia="宋体"/>
                <w:kern w:val="0"/>
                <w:sz w:val="18"/>
                <w:szCs w:val="18"/>
                <w:lang w:val="en-US" w:eastAsia="zh-CN"/>
              </w:rPr>
            </w:pPr>
            <w:r>
              <w:rPr>
                <w:rFonts w:hint="eastAsia"/>
                <w:kern w:val="0"/>
                <w:sz w:val="18"/>
                <w:szCs w:val="18"/>
                <w:lang w:val="en-US" w:eastAsia="zh-CN"/>
              </w:rPr>
              <w:t>%</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adjustRightInd w:val="0"/>
              <w:jc w:val="left"/>
              <w:rPr>
                <w:rFonts w:hint="eastAsia" w:eastAsia="宋体"/>
                <w:sz w:val="18"/>
                <w:szCs w:val="18"/>
                <w:lang w:val="en-US" w:eastAsia="zh-CN"/>
              </w:rPr>
            </w:pPr>
            <w:r>
              <w:rPr>
                <w:rFonts w:hint="eastAsia"/>
                <w:sz w:val="18"/>
                <w:szCs w:val="18"/>
                <w:lang w:val="en-US" w:eastAsia="zh-CN"/>
              </w:rPr>
              <w:t>缺省值</w:t>
            </w:r>
          </w:p>
        </w:tc>
        <w:tc>
          <w:tcPr>
            <w:tcW w:w="710"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53"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84"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02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1205"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70"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75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c>
          <w:tcPr>
            <w:tcW w:w="605" w:type="dxa"/>
            <w:tcBorders>
              <w:top w:val="single" w:color="auto" w:sz="4" w:space="0"/>
              <w:left w:val="single" w:color="auto" w:sz="4" w:space="0"/>
              <w:bottom w:val="single" w:color="auto" w:sz="4" w:space="0"/>
              <w:right w:val="single" w:color="auto" w:sz="4" w:space="0"/>
            </w:tcBorders>
          </w:tcPr>
          <w:p>
            <w:pPr>
              <w:adjustRightInd w:val="0"/>
              <w:snapToGrid w:val="0"/>
              <w:spacing w:line="216"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83" w:hRule="atLeast"/>
          <w:jc w:val="center"/>
        </w:trPr>
        <w:tc>
          <w:tcPr>
            <w:tcW w:w="14340" w:type="dxa"/>
            <w:gridSpan w:val="20"/>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sz w:val="18"/>
                <w:szCs w:val="18"/>
              </w:rPr>
            </w:pPr>
            <w:r>
              <w:rPr>
                <w:rFonts w:ascii="Times New Roman" w:hAnsi="Times New Roman"/>
                <w:sz w:val="18"/>
                <w:szCs w:val="18"/>
              </w:rPr>
              <w:t>D-2 购入和输出电力活动数据和排放因子的确定方式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83" w:hRule="atLeast"/>
          <w:jc w:val="center"/>
        </w:trPr>
        <w:tc>
          <w:tcPr>
            <w:tcW w:w="1490"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jc w:val="center"/>
              <w:rPr>
                <w:rFonts w:ascii="Times New Roman" w:hAnsi="Times New Roman"/>
                <w:sz w:val="18"/>
                <w:szCs w:val="18"/>
              </w:rPr>
            </w:pPr>
            <w:r>
              <w:rPr>
                <w:rFonts w:ascii="Times New Roman" w:hAnsi="Times New Roman"/>
                <w:kern w:val="0"/>
                <w:sz w:val="18"/>
                <w:szCs w:val="18"/>
              </w:rPr>
              <w:t>过程参数</w:t>
            </w:r>
          </w:p>
        </w:tc>
        <w:tc>
          <w:tcPr>
            <w:tcW w:w="660" w:type="dxa"/>
            <w:gridSpan w:val="2"/>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rPr>
            </w:pPr>
            <w:r>
              <w:rPr>
                <w:rFonts w:ascii="Times New Roman" w:hAnsi="Times New Roman"/>
                <w:kern w:val="0"/>
                <w:sz w:val="18"/>
                <w:szCs w:val="18"/>
              </w:rPr>
              <w:t>单位</w:t>
            </w:r>
          </w:p>
        </w:tc>
        <w:tc>
          <w:tcPr>
            <w:tcW w:w="5283"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kern w:val="0"/>
                <w:sz w:val="18"/>
                <w:szCs w:val="18"/>
              </w:rPr>
            </w:pPr>
            <w:r>
              <w:rPr>
                <w:rFonts w:ascii="Times New Roman" w:hAnsi="Times New Roman"/>
                <w:kern w:val="0"/>
                <w:sz w:val="18"/>
                <w:szCs w:val="18"/>
              </w:rPr>
              <w:t>数据的计算方法及获取方式</w:t>
            </w:r>
          </w:p>
          <w:p>
            <w:pPr>
              <w:snapToGrid w:val="0"/>
              <w:spacing w:line="240" w:lineRule="auto"/>
              <w:jc w:val="left"/>
              <w:rPr>
                <w:rFonts w:ascii="Times New Roman" w:hAnsi="Times New Roman"/>
                <w:sz w:val="18"/>
                <w:szCs w:val="18"/>
              </w:rPr>
            </w:pPr>
            <w:r>
              <w:rPr>
                <w:rFonts w:ascii="Times New Roman" w:hAnsi="Times New Roman"/>
                <w:sz w:val="18"/>
                <w:szCs w:val="18"/>
              </w:rPr>
              <w:t>选取以下获取方式：</w:t>
            </w:r>
          </w:p>
          <w:p>
            <w:pPr>
              <w:numPr>
                <w:ilvl w:val="0"/>
                <w:numId w:val="30"/>
              </w:numPr>
              <w:snapToGrid w:val="0"/>
              <w:spacing w:line="240" w:lineRule="auto"/>
              <w:ind w:left="0" w:firstLine="0"/>
              <w:jc w:val="left"/>
              <w:rPr>
                <w:rFonts w:ascii="Times New Roman" w:hAnsi="Times New Roman"/>
                <w:sz w:val="18"/>
                <w:szCs w:val="18"/>
              </w:rPr>
            </w:pPr>
            <w:r>
              <w:rPr>
                <w:rFonts w:ascii="Times New Roman" w:hAnsi="Times New Roman"/>
                <w:sz w:val="18"/>
                <w:szCs w:val="18"/>
              </w:rPr>
              <w:t>实测值（如是，请具体填报时，采用在表下加备注的方式写明具体方法和标准）；</w:t>
            </w:r>
          </w:p>
          <w:p>
            <w:pPr>
              <w:numPr>
                <w:ilvl w:val="0"/>
                <w:numId w:val="30"/>
              </w:numPr>
              <w:snapToGrid w:val="0"/>
              <w:spacing w:line="240" w:lineRule="auto"/>
              <w:ind w:left="0" w:firstLine="0"/>
              <w:jc w:val="left"/>
              <w:rPr>
                <w:rFonts w:ascii="Times New Roman" w:hAnsi="Times New Roman"/>
                <w:sz w:val="18"/>
                <w:szCs w:val="18"/>
              </w:rPr>
            </w:pPr>
            <w:r>
              <w:rPr>
                <w:rFonts w:ascii="Times New Roman" w:hAnsi="Times New Roman"/>
                <w:sz w:val="18"/>
                <w:szCs w:val="18"/>
              </w:rPr>
              <w:t>缺省值（如是，请填写具体数值）；</w:t>
            </w:r>
          </w:p>
          <w:p>
            <w:pPr>
              <w:numPr>
                <w:ilvl w:val="0"/>
                <w:numId w:val="30"/>
              </w:numPr>
              <w:snapToGrid w:val="0"/>
              <w:spacing w:line="240" w:lineRule="auto"/>
              <w:ind w:left="0" w:firstLine="0"/>
              <w:jc w:val="left"/>
              <w:rPr>
                <w:rFonts w:ascii="Times New Roman" w:hAnsi="Times New Roman"/>
                <w:sz w:val="18"/>
                <w:szCs w:val="18"/>
              </w:rPr>
            </w:pPr>
            <w:r>
              <w:rPr>
                <w:rFonts w:ascii="Times New Roman" w:hAnsi="Times New Roman"/>
                <w:sz w:val="18"/>
                <w:szCs w:val="18"/>
              </w:rPr>
              <w:t>相关方结算凭证（如是，请具体填报时，采用在表下加备注的方式填写如何确保供应商数据质量）；</w:t>
            </w:r>
          </w:p>
          <w:p>
            <w:pPr>
              <w:numPr>
                <w:ilvl w:val="0"/>
                <w:numId w:val="30"/>
              </w:numPr>
              <w:snapToGrid w:val="0"/>
              <w:spacing w:line="240" w:lineRule="auto"/>
              <w:ind w:left="0" w:firstLine="0"/>
              <w:rPr>
                <w:rFonts w:ascii="Times New Roman" w:hAnsi="Times New Roman"/>
                <w:sz w:val="18"/>
                <w:szCs w:val="18"/>
              </w:rPr>
            </w:pPr>
            <w:r>
              <w:rPr>
                <w:rFonts w:ascii="Times New Roman" w:hAnsi="Times New Roman"/>
                <w:sz w:val="18"/>
                <w:szCs w:val="18"/>
              </w:rPr>
              <w:t>其他方式（如是，请具体填报时，采用在表下加备注的方式详细描述）。</w:t>
            </w:r>
          </w:p>
        </w:tc>
        <w:tc>
          <w:tcPr>
            <w:tcW w:w="4796" w:type="dxa"/>
            <w:gridSpan w:val="11"/>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测量设备（适用于数据获取方式来源于实测值）</w:t>
            </w:r>
          </w:p>
        </w:tc>
        <w:tc>
          <w:tcPr>
            <w:tcW w:w="714" w:type="dxa"/>
            <w:vMerge w:val="restart"/>
            <w:tcBorders>
              <w:top w:val="single" w:color="auto" w:sz="4" w:space="0"/>
              <w:left w:val="single" w:color="auto" w:sz="4" w:space="0"/>
              <w:right w:val="single" w:color="auto" w:sz="4" w:space="0"/>
            </w:tcBorders>
          </w:tcPr>
          <w:p>
            <w:pPr>
              <w:snapToGrid w:val="0"/>
              <w:spacing w:line="240" w:lineRule="auto"/>
              <w:jc w:val="center"/>
              <w:rPr>
                <w:rFonts w:ascii="Times New Roman" w:hAnsi="Times New Roman"/>
                <w:kern w:val="0"/>
                <w:sz w:val="18"/>
                <w:szCs w:val="18"/>
              </w:rPr>
            </w:pPr>
            <w:r>
              <w:rPr>
                <w:rFonts w:ascii="Times New Roman" w:hAnsi="Times New Roman"/>
                <w:kern w:val="0"/>
                <w:sz w:val="18"/>
                <w:szCs w:val="18"/>
              </w:rPr>
              <w:t>数据记录频次</w:t>
            </w:r>
          </w:p>
        </w:tc>
        <w:tc>
          <w:tcPr>
            <w:tcW w:w="792" w:type="dxa"/>
            <w:gridSpan w:val="2"/>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rPr>
            </w:pPr>
            <w:r>
              <w:rPr>
                <w:rFonts w:ascii="Times New Roman" w:hAnsi="Times New Roman"/>
                <w:kern w:val="0"/>
                <w:sz w:val="18"/>
                <w:szCs w:val="18"/>
              </w:rPr>
              <w:t>数据缺失时的处理方式</w:t>
            </w:r>
          </w:p>
        </w:tc>
        <w:tc>
          <w:tcPr>
            <w:tcW w:w="605" w:type="dxa"/>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rPr>
            </w:pPr>
            <w:r>
              <w:rPr>
                <w:rFonts w:ascii="Times New Roman" w:hAnsi="Times New Roman"/>
                <w:sz w:val="18"/>
                <w:szCs w:val="18"/>
              </w:rPr>
              <w:t>数据获取负责部门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283" w:hRule="atLeast"/>
          <w:jc w:val="center"/>
        </w:trPr>
        <w:tc>
          <w:tcPr>
            <w:tcW w:w="1490"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rPr>
            </w:pPr>
          </w:p>
        </w:tc>
        <w:tc>
          <w:tcPr>
            <w:tcW w:w="6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rPr>
            </w:pPr>
          </w:p>
        </w:tc>
        <w:tc>
          <w:tcPr>
            <w:tcW w:w="52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rPr>
            </w:pPr>
          </w:p>
        </w:tc>
        <w:tc>
          <w:tcPr>
            <w:tcW w:w="710"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rPr>
            </w:pPr>
            <w:r>
              <w:rPr>
                <w:rFonts w:ascii="Times New Roman" w:hAnsi="Times New Roman"/>
                <w:kern w:val="0"/>
                <w:sz w:val="18"/>
                <w:szCs w:val="18"/>
              </w:rPr>
              <w:t>监测设备及型号</w:t>
            </w:r>
          </w:p>
        </w:tc>
        <w:tc>
          <w:tcPr>
            <w:tcW w:w="1053" w:type="dxa"/>
            <w:gridSpan w:val="2"/>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rPr>
            </w:pPr>
            <w:r>
              <w:rPr>
                <w:rFonts w:ascii="Times New Roman" w:hAnsi="Times New Roman"/>
                <w:kern w:val="0"/>
                <w:sz w:val="18"/>
                <w:szCs w:val="18"/>
              </w:rPr>
              <w:t>监测设备安装位置</w:t>
            </w:r>
          </w:p>
        </w:tc>
        <w:tc>
          <w:tcPr>
            <w:tcW w:w="784" w:type="dxa"/>
            <w:gridSpan w:val="4"/>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rPr>
            </w:pPr>
            <w:r>
              <w:rPr>
                <w:rFonts w:ascii="Times New Roman" w:hAnsi="Times New Roman"/>
                <w:kern w:val="0"/>
                <w:sz w:val="18"/>
                <w:szCs w:val="18"/>
              </w:rPr>
              <w:t>监测频次</w:t>
            </w:r>
          </w:p>
        </w:tc>
        <w:tc>
          <w:tcPr>
            <w:tcW w:w="1025"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rPr>
            </w:pPr>
            <w:r>
              <w:rPr>
                <w:rFonts w:ascii="Times New Roman" w:hAnsi="Times New Roman"/>
                <w:kern w:val="0"/>
                <w:sz w:val="18"/>
                <w:szCs w:val="18"/>
              </w:rPr>
              <w:t>监测设备精度</w:t>
            </w:r>
          </w:p>
        </w:tc>
        <w:tc>
          <w:tcPr>
            <w:tcW w:w="1224" w:type="dxa"/>
            <w:gridSpan w:val="3"/>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rPr>
            </w:pPr>
            <w:r>
              <w:rPr>
                <w:rFonts w:ascii="Times New Roman" w:hAnsi="Times New Roman"/>
                <w:kern w:val="0"/>
                <w:sz w:val="18"/>
                <w:szCs w:val="18"/>
              </w:rPr>
              <w:t>规定的监测设备校准频次</w:t>
            </w:r>
          </w:p>
        </w:tc>
        <w:tc>
          <w:tcPr>
            <w:tcW w:w="714" w:type="dxa"/>
            <w:vMerge w:val="continue"/>
            <w:tcBorders>
              <w:left w:val="single" w:color="auto" w:sz="4" w:space="0"/>
              <w:bottom w:val="single" w:color="auto" w:sz="4" w:space="0"/>
              <w:right w:val="single" w:color="auto" w:sz="4" w:space="0"/>
            </w:tcBorders>
          </w:tcPr>
          <w:p>
            <w:pPr>
              <w:widowControl/>
              <w:snapToGrid w:val="0"/>
              <w:spacing w:line="240" w:lineRule="auto"/>
              <w:rPr>
                <w:rFonts w:ascii="Times New Roman" w:hAnsi="Times New Roman"/>
                <w:sz w:val="18"/>
                <w:szCs w:val="18"/>
              </w:rPr>
            </w:pPr>
          </w:p>
        </w:tc>
        <w:tc>
          <w:tcPr>
            <w:tcW w:w="7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rPr>
            </w:pPr>
          </w:p>
        </w:tc>
        <w:tc>
          <w:tcPr>
            <w:tcW w:w="60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rPr>
            </w:pPr>
            <w:r>
              <w:rPr>
                <w:rFonts w:hint="eastAsia" w:ascii="Times New Roman" w:hAnsi="Times New Roman"/>
                <w:kern w:val="0"/>
                <w:sz w:val="18"/>
                <w:szCs w:val="18"/>
              </w:rPr>
              <w:t>净购入使用的电量</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MWh</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5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84"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2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2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4"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9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62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rPr>
            </w:pPr>
            <w:r>
              <w:rPr>
                <w:rFonts w:hint="eastAsia" w:ascii="Times New Roman" w:hAnsi="Times New Roman"/>
                <w:kern w:val="0"/>
                <w:sz w:val="18"/>
                <w:szCs w:val="18"/>
              </w:rPr>
              <w:t>购入的总电量</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MWh</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5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84"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2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2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4"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9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62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rPr>
            </w:pPr>
            <w:r>
              <w:rPr>
                <w:rFonts w:hint="eastAsia" w:ascii="Times New Roman" w:hAnsi="Times New Roman"/>
                <w:kern w:val="0"/>
                <w:sz w:val="18"/>
                <w:szCs w:val="18"/>
              </w:rPr>
              <w:t>转供输出的总电量</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MWh</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5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84"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2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2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4"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9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62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rPr>
            </w:pPr>
            <w:r>
              <w:rPr>
                <w:rFonts w:hint="eastAsia" w:ascii="Times New Roman" w:hAnsi="Times New Roman"/>
                <w:kern w:val="0"/>
                <w:sz w:val="18"/>
                <w:szCs w:val="18"/>
              </w:rPr>
              <w:t>通过市场化交易购入使用的非化石能源电力消费量</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MWh</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5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84"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2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2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4"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9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62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rPr>
            </w:pPr>
            <w:r>
              <w:rPr>
                <w:rFonts w:hint="eastAsia" w:ascii="Times New Roman" w:hAnsi="Times New Roman"/>
                <w:kern w:val="0"/>
                <w:sz w:val="18"/>
                <w:szCs w:val="18"/>
              </w:rPr>
              <w:t>转供输出的总电量中包括通过市场化交易购入使用的非化石能源电力消费量</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MWh</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5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84"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2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2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4"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9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62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rPr>
            </w:pPr>
            <w:r>
              <w:rPr>
                <w:rFonts w:ascii="Times New Roman" w:hAnsi="Times New Roman"/>
                <w:kern w:val="0"/>
                <w:sz w:val="18"/>
                <w:szCs w:val="18"/>
              </w:rPr>
              <w:t>电力排放因子</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tCO</w:t>
            </w:r>
            <w:r>
              <w:rPr>
                <w:rFonts w:ascii="Times New Roman" w:hAnsi="Times New Roman"/>
                <w:sz w:val="18"/>
                <w:szCs w:val="18"/>
                <w:vertAlign w:val="subscript"/>
              </w:rPr>
              <w:t>2</w:t>
            </w:r>
            <w:r>
              <w:rPr>
                <w:rFonts w:ascii="Times New Roman" w:hAnsi="Times New Roman"/>
                <w:sz w:val="18"/>
                <w:szCs w:val="18"/>
              </w:rPr>
              <w:t>/MWh</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5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84"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2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2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4"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9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62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361" w:type="dxa"/>
            <w:gridSpan w:val="21"/>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sz w:val="18"/>
                <w:szCs w:val="18"/>
              </w:rPr>
            </w:pPr>
            <w:r>
              <w:rPr>
                <w:rFonts w:ascii="Times New Roman" w:hAnsi="Times New Roman"/>
                <w:sz w:val="18"/>
                <w:szCs w:val="18"/>
              </w:rPr>
              <w:t>D-3 购入和输出热力活动数据和排放因子的确定方式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0"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jc w:val="center"/>
              <w:rPr>
                <w:rFonts w:ascii="Times New Roman" w:hAnsi="Times New Roman"/>
                <w:sz w:val="18"/>
                <w:szCs w:val="18"/>
              </w:rPr>
            </w:pPr>
            <w:r>
              <w:rPr>
                <w:rFonts w:ascii="Times New Roman" w:hAnsi="Times New Roman"/>
                <w:kern w:val="0"/>
                <w:sz w:val="18"/>
                <w:szCs w:val="18"/>
              </w:rPr>
              <w:t>过程参数</w:t>
            </w:r>
          </w:p>
        </w:tc>
        <w:tc>
          <w:tcPr>
            <w:tcW w:w="660" w:type="dxa"/>
            <w:gridSpan w:val="2"/>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rPr>
            </w:pPr>
            <w:r>
              <w:rPr>
                <w:rFonts w:ascii="Times New Roman" w:hAnsi="Times New Roman"/>
                <w:kern w:val="0"/>
                <w:sz w:val="18"/>
                <w:szCs w:val="18"/>
              </w:rPr>
              <w:t>单位</w:t>
            </w:r>
          </w:p>
        </w:tc>
        <w:tc>
          <w:tcPr>
            <w:tcW w:w="5283"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kern w:val="0"/>
                <w:sz w:val="18"/>
                <w:szCs w:val="18"/>
              </w:rPr>
            </w:pPr>
            <w:r>
              <w:rPr>
                <w:rFonts w:ascii="Times New Roman" w:hAnsi="Times New Roman"/>
                <w:kern w:val="0"/>
                <w:sz w:val="18"/>
                <w:szCs w:val="18"/>
              </w:rPr>
              <w:t>数据的计算方法及获取方式</w:t>
            </w:r>
          </w:p>
          <w:p>
            <w:pPr>
              <w:snapToGrid w:val="0"/>
              <w:spacing w:line="240" w:lineRule="auto"/>
              <w:jc w:val="left"/>
              <w:rPr>
                <w:rFonts w:ascii="Times New Roman" w:hAnsi="Times New Roman"/>
                <w:sz w:val="18"/>
                <w:szCs w:val="18"/>
              </w:rPr>
            </w:pPr>
            <w:r>
              <w:rPr>
                <w:rFonts w:ascii="Times New Roman" w:hAnsi="Times New Roman"/>
                <w:sz w:val="18"/>
                <w:szCs w:val="18"/>
              </w:rPr>
              <w:t>选取以下获取方式：</w:t>
            </w:r>
          </w:p>
          <w:p>
            <w:pPr>
              <w:numPr>
                <w:ilvl w:val="0"/>
                <w:numId w:val="30"/>
              </w:numPr>
              <w:snapToGrid w:val="0"/>
              <w:spacing w:line="240" w:lineRule="auto"/>
              <w:ind w:left="0" w:firstLine="0"/>
              <w:jc w:val="left"/>
              <w:rPr>
                <w:rFonts w:ascii="Times New Roman" w:hAnsi="Times New Roman"/>
                <w:sz w:val="18"/>
                <w:szCs w:val="18"/>
              </w:rPr>
            </w:pPr>
            <w:r>
              <w:rPr>
                <w:rFonts w:ascii="Times New Roman" w:hAnsi="Times New Roman"/>
                <w:sz w:val="18"/>
                <w:szCs w:val="18"/>
              </w:rPr>
              <w:t>实测值（如是，请具体填报时，采用在表下加备注的方式写明具体方法和标准）；</w:t>
            </w:r>
          </w:p>
          <w:p>
            <w:pPr>
              <w:numPr>
                <w:ilvl w:val="0"/>
                <w:numId w:val="30"/>
              </w:numPr>
              <w:snapToGrid w:val="0"/>
              <w:spacing w:line="240" w:lineRule="auto"/>
              <w:ind w:left="0" w:firstLine="0"/>
              <w:jc w:val="left"/>
              <w:rPr>
                <w:rFonts w:ascii="Times New Roman" w:hAnsi="Times New Roman"/>
                <w:sz w:val="18"/>
                <w:szCs w:val="18"/>
              </w:rPr>
            </w:pPr>
            <w:r>
              <w:rPr>
                <w:rFonts w:ascii="Times New Roman" w:hAnsi="Times New Roman"/>
                <w:sz w:val="18"/>
                <w:szCs w:val="18"/>
              </w:rPr>
              <w:t>缺省值（如是，请填写具体数值）；</w:t>
            </w:r>
          </w:p>
          <w:p>
            <w:pPr>
              <w:numPr>
                <w:ilvl w:val="0"/>
                <w:numId w:val="30"/>
              </w:numPr>
              <w:snapToGrid w:val="0"/>
              <w:spacing w:line="240" w:lineRule="auto"/>
              <w:ind w:left="0" w:firstLine="0"/>
              <w:jc w:val="left"/>
              <w:rPr>
                <w:rFonts w:ascii="Times New Roman" w:hAnsi="Times New Roman"/>
                <w:sz w:val="18"/>
                <w:szCs w:val="18"/>
              </w:rPr>
            </w:pPr>
            <w:r>
              <w:rPr>
                <w:rFonts w:ascii="Times New Roman" w:hAnsi="Times New Roman"/>
                <w:sz w:val="18"/>
                <w:szCs w:val="18"/>
              </w:rPr>
              <w:t>相关方结算凭证（如是，请具体填报时，采用在表下加备注的方式填写如何确保供应商数据质量）；</w:t>
            </w:r>
          </w:p>
          <w:p>
            <w:pPr>
              <w:numPr>
                <w:ilvl w:val="0"/>
                <w:numId w:val="30"/>
              </w:numPr>
              <w:snapToGrid w:val="0"/>
              <w:spacing w:line="240" w:lineRule="auto"/>
              <w:ind w:left="0" w:firstLine="0"/>
              <w:rPr>
                <w:rFonts w:ascii="Times New Roman" w:hAnsi="Times New Roman"/>
                <w:sz w:val="18"/>
                <w:szCs w:val="18"/>
              </w:rPr>
            </w:pPr>
            <w:r>
              <w:rPr>
                <w:rFonts w:ascii="Times New Roman" w:hAnsi="Times New Roman"/>
                <w:sz w:val="18"/>
                <w:szCs w:val="18"/>
              </w:rPr>
              <w:t>其他方式（如是，请具体填报时，采用在表下加备注的方式详细描述）。</w:t>
            </w:r>
          </w:p>
        </w:tc>
        <w:tc>
          <w:tcPr>
            <w:tcW w:w="4796" w:type="dxa"/>
            <w:gridSpan w:val="11"/>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测量设备（适用于数据获取方式来源于实测值）</w:t>
            </w:r>
          </w:p>
        </w:tc>
        <w:tc>
          <w:tcPr>
            <w:tcW w:w="714" w:type="dxa"/>
            <w:vMerge w:val="restart"/>
            <w:tcBorders>
              <w:top w:val="single" w:color="auto" w:sz="4" w:space="0"/>
              <w:left w:val="single" w:color="auto" w:sz="4" w:space="0"/>
              <w:right w:val="single" w:color="auto" w:sz="4" w:space="0"/>
            </w:tcBorders>
          </w:tcPr>
          <w:p>
            <w:pPr>
              <w:snapToGrid w:val="0"/>
              <w:spacing w:line="240" w:lineRule="auto"/>
              <w:jc w:val="center"/>
              <w:rPr>
                <w:rFonts w:ascii="Times New Roman" w:hAnsi="Times New Roman"/>
                <w:kern w:val="0"/>
                <w:sz w:val="18"/>
                <w:szCs w:val="18"/>
              </w:rPr>
            </w:pPr>
            <w:r>
              <w:rPr>
                <w:rFonts w:ascii="Times New Roman" w:hAnsi="Times New Roman"/>
                <w:kern w:val="0"/>
                <w:sz w:val="18"/>
                <w:szCs w:val="18"/>
              </w:rPr>
              <w:t>数据记录频次</w:t>
            </w:r>
          </w:p>
        </w:tc>
        <w:tc>
          <w:tcPr>
            <w:tcW w:w="792" w:type="dxa"/>
            <w:gridSpan w:val="2"/>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rPr>
            </w:pPr>
            <w:r>
              <w:rPr>
                <w:rFonts w:ascii="Times New Roman" w:hAnsi="Times New Roman"/>
                <w:kern w:val="0"/>
                <w:sz w:val="18"/>
                <w:szCs w:val="18"/>
              </w:rPr>
              <w:t>数据缺失时的处理方式</w:t>
            </w:r>
          </w:p>
        </w:tc>
        <w:tc>
          <w:tcPr>
            <w:tcW w:w="626" w:type="dxa"/>
            <w:gridSpan w:val="2"/>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rPr>
            </w:pPr>
            <w:r>
              <w:rPr>
                <w:rFonts w:ascii="Times New Roman" w:hAnsi="Times New Roman"/>
                <w:sz w:val="18"/>
                <w:szCs w:val="18"/>
              </w:rPr>
              <w:t>数据获取负责部门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0"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rPr>
            </w:pPr>
          </w:p>
        </w:tc>
        <w:tc>
          <w:tcPr>
            <w:tcW w:w="6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rPr>
            </w:pPr>
          </w:p>
        </w:tc>
        <w:tc>
          <w:tcPr>
            <w:tcW w:w="52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rPr>
            </w:pPr>
          </w:p>
        </w:tc>
        <w:tc>
          <w:tcPr>
            <w:tcW w:w="710"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rPr>
            </w:pPr>
            <w:r>
              <w:rPr>
                <w:rFonts w:ascii="Times New Roman" w:hAnsi="Times New Roman"/>
                <w:kern w:val="0"/>
                <w:sz w:val="18"/>
                <w:szCs w:val="18"/>
              </w:rPr>
              <w:t>监测设备及型号</w:t>
            </w:r>
          </w:p>
        </w:tc>
        <w:tc>
          <w:tcPr>
            <w:tcW w:w="1053" w:type="dxa"/>
            <w:gridSpan w:val="2"/>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rPr>
            </w:pPr>
            <w:r>
              <w:rPr>
                <w:rFonts w:ascii="Times New Roman" w:hAnsi="Times New Roman"/>
                <w:kern w:val="0"/>
                <w:sz w:val="18"/>
                <w:szCs w:val="18"/>
              </w:rPr>
              <w:t>监测设备安装位置</w:t>
            </w:r>
          </w:p>
        </w:tc>
        <w:tc>
          <w:tcPr>
            <w:tcW w:w="784" w:type="dxa"/>
            <w:gridSpan w:val="4"/>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rPr>
            </w:pPr>
            <w:r>
              <w:rPr>
                <w:rFonts w:ascii="Times New Roman" w:hAnsi="Times New Roman"/>
                <w:kern w:val="0"/>
                <w:sz w:val="18"/>
                <w:szCs w:val="18"/>
              </w:rPr>
              <w:t>监测频次</w:t>
            </w:r>
          </w:p>
        </w:tc>
        <w:tc>
          <w:tcPr>
            <w:tcW w:w="1025"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rPr>
            </w:pPr>
            <w:r>
              <w:rPr>
                <w:rFonts w:ascii="Times New Roman" w:hAnsi="Times New Roman"/>
                <w:kern w:val="0"/>
                <w:sz w:val="18"/>
                <w:szCs w:val="18"/>
              </w:rPr>
              <w:t>监测设备精度</w:t>
            </w:r>
          </w:p>
        </w:tc>
        <w:tc>
          <w:tcPr>
            <w:tcW w:w="1224" w:type="dxa"/>
            <w:gridSpan w:val="3"/>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rPr>
            </w:pPr>
            <w:r>
              <w:rPr>
                <w:rFonts w:ascii="Times New Roman" w:hAnsi="Times New Roman"/>
                <w:kern w:val="0"/>
                <w:sz w:val="18"/>
                <w:szCs w:val="18"/>
              </w:rPr>
              <w:t>规定的监测设备校准频次</w:t>
            </w:r>
          </w:p>
        </w:tc>
        <w:tc>
          <w:tcPr>
            <w:tcW w:w="714" w:type="dxa"/>
            <w:vMerge w:val="continue"/>
            <w:tcBorders>
              <w:left w:val="single" w:color="auto" w:sz="4" w:space="0"/>
              <w:bottom w:val="single" w:color="auto" w:sz="4" w:space="0"/>
              <w:right w:val="single" w:color="auto" w:sz="4" w:space="0"/>
            </w:tcBorders>
          </w:tcPr>
          <w:p>
            <w:pPr>
              <w:widowControl/>
              <w:snapToGrid w:val="0"/>
              <w:spacing w:line="240" w:lineRule="auto"/>
              <w:rPr>
                <w:rFonts w:ascii="Times New Roman" w:hAnsi="Times New Roman"/>
                <w:sz w:val="18"/>
                <w:szCs w:val="18"/>
              </w:rPr>
            </w:pPr>
          </w:p>
        </w:tc>
        <w:tc>
          <w:tcPr>
            <w:tcW w:w="7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rPr>
            </w:pPr>
          </w:p>
        </w:tc>
        <w:tc>
          <w:tcPr>
            <w:tcW w:w="6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rPr>
            </w:pPr>
            <w:r>
              <w:rPr>
                <w:rFonts w:hint="eastAsia" w:ascii="Times New Roman" w:hAnsi="Times New Roman"/>
                <w:kern w:val="0"/>
                <w:sz w:val="18"/>
                <w:szCs w:val="18"/>
              </w:rPr>
              <w:t>净购入使用的热量</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GJ</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5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84"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2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2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4"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9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62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rPr>
            </w:pPr>
            <w:r>
              <w:rPr>
                <w:rFonts w:ascii="Times New Roman" w:hAnsi="Times New Roman"/>
                <w:kern w:val="0"/>
                <w:sz w:val="18"/>
                <w:szCs w:val="18"/>
              </w:rPr>
              <w:t>购入</w:t>
            </w:r>
            <w:r>
              <w:rPr>
                <w:rFonts w:hint="eastAsia" w:ascii="Times New Roman" w:hAnsi="Times New Roman"/>
                <w:kern w:val="0"/>
                <w:sz w:val="18"/>
                <w:szCs w:val="18"/>
              </w:rPr>
              <w:t>的总</w:t>
            </w:r>
            <w:r>
              <w:rPr>
                <w:rFonts w:ascii="Times New Roman" w:hAnsi="Times New Roman"/>
                <w:kern w:val="0"/>
                <w:sz w:val="18"/>
                <w:szCs w:val="18"/>
              </w:rPr>
              <w:t>热</w:t>
            </w:r>
            <w:r>
              <w:rPr>
                <w:rFonts w:hint="eastAsia" w:ascii="Times New Roman" w:hAnsi="Times New Roman"/>
                <w:kern w:val="0"/>
                <w:sz w:val="18"/>
                <w:szCs w:val="18"/>
              </w:rPr>
              <w:t>量</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GJ</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5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84"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2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2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4"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9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62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rPr>
            </w:pPr>
            <w:r>
              <w:rPr>
                <w:rFonts w:ascii="Times New Roman" w:hAnsi="Times New Roman"/>
                <w:kern w:val="0"/>
                <w:sz w:val="18"/>
                <w:szCs w:val="18"/>
              </w:rPr>
              <w:t>输出</w:t>
            </w:r>
            <w:r>
              <w:rPr>
                <w:rFonts w:hint="eastAsia" w:ascii="Times New Roman" w:hAnsi="Times New Roman"/>
                <w:kern w:val="0"/>
                <w:sz w:val="18"/>
                <w:szCs w:val="18"/>
              </w:rPr>
              <w:t>的总</w:t>
            </w:r>
            <w:r>
              <w:rPr>
                <w:rFonts w:ascii="Times New Roman" w:hAnsi="Times New Roman"/>
                <w:kern w:val="0"/>
                <w:sz w:val="18"/>
                <w:szCs w:val="18"/>
              </w:rPr>
              <w:t>热</w:t>
            </w:r>
            <w:r>
              <w:rPr>
                <w:rFonts w:hint="eastAsia" w:ascii="Times New Roman" w:hAnsi="Times New Roman"/>
                <w:kern w:val="0"/>
                <w:sz w:val="18"/>
                <w:szCs w:val="18"/>
              </w:rPr>
              <w:t>量</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GJ</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5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84"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2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2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4"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9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62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rPr>
            </w:pPr>
            <w:r>
              <w:rPr>
                <w:rFonts w:ascii="Times New Roman" w:hAnsi="Times New Roman"/>
                <w:kern w:val="0"/>
                <w:sz w:val="18"/>
                <w:szCs w:val="18"/>
              </w:rPr>
              <w:t>电力排放因子</w:t>
            </w:r>
          </w:p>
        </w:tc>
        <w:tc>
          <w:tcPr>
            <w:tcW w:w="66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tCO</w:t>
            </w:r>
            <w:r>
              <w:rPr>
                <w:rFonts w:ascii="Times New Roman" w:hAnsi="Times New Roman"/>
                <w:sz w:val="18"/>
                <w:szCs w:val="18"/>
                <w:vertAlign w:val="subscript"/>
              </w:rPr>
              <w:t>2</w:t>
            </w:r>
            <w:r>
              <w:rPr>
                <w:rFonts w:ascii="Times New Roman" w:hAnsi="Times New Roman"/>
                <w:sz w:val="18"/>
                <w:szCs w:val="18"/>
              </w:rPr>
              <w:t>/GJ</w:t>
            </w:r>
          </w:p>
        </w:tc>
        <w:tc>
          <w:tcPr>
            <w:tcW w:w="528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5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84"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02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12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14"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79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c>
          <w:tcPr>
            <w:tcW w:w="62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rPr>
            </w:pPr>
          </w:p>
        </w:tc>
      </w:tr>
    </w:tbl>
    <w:p>
      <w:pPr>
        <w:widowControl/>
        <w:jc w:val="left"/>
        <w:rPr>
          <w:rFonts w:ascii="宋体" w:hAnsi="宋体"/>
        </w:rPr>
      </w:pPr>
    </w:p>
    <w:p/>
    <w:p>
      <w:pPr>
        <w:rPr>
          <w:rFonts w:ascii="宋体" w:hAnsi="宋体"/>
          <w:szCs w:val="22"/>
          <w:highlight w:val="yellow"/>
        </w:rPr>
      </w:pPr>
    </w:p>
    <w:p>
      <w:pPr>
        <w:widowControl/>
        <w:jc w:val="left"/>
        <w:rPr>
          <w:rFonts w:ascii="宋体" w:hAnsi="宋体"/>
          <w:kern w:val="0"/>
        </w:rPr>
        <w:sectPr>
          <w:headerReference r:id="rId12" w:type="default"/>
          <w:footerReference r:id="rId13" w:type="default"/>
          <w:pgSz w:w="16838" w:h="11906" w:orient="landscape"/>
          <w:pgMar w:top="1985" w:right="1616" w:bottom="1814" w:left="1616" w:header="851" w:footer="1474" w:gutter="0"/>
          <w:pgNumType w:fmt="decimal"/>
          <w:cols w:space="720" w:num="1"/>
          <w:docGrid w:type="lines" w:linePitch="312" w:charSpace="0"/>
        </w:sectPr>
      </w:pPr>
    </w:p>
    <w:tbl>
      <w:tblPr>
        <w:tblStyle w:val="3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39" w:type="dxa"/>
            <w:gridSpan w:val="2"/>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tcPr>
          <w:p>
            <w:pPr>
              <w:widowControl/>
              <w:ind w:firstLine="180" w:firstLineChars="100"/>
              <w:jc w:val="left"/>
              <w:rPr>
                <w:kern w:val="0"/>
                <w:sz w:val="18"/>
                <w:szCs w:val="18"/>
              </w:rPr>
            </w:pPr>
            <w:r>
              <w:rPr>
                <w:sz w:val="18"/>
                <w:szCs w:val="18"/>
              </w:rPr>
              <w:br w:type="page"/>
            </w:r>
            <w:r>
              <w:rPr>
                <w:rFonts w:hint="eastAsia"/>
                <w:kern w:val="0"/>
                <w:sz w:val="18"/>
                <w:szCs w:val="18"/>
              </w:rPr>
              <w:t>E数据内部质量控制和质量保证相关规定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39"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tcPr>
          <w:p>
            <w:pPr>
              <w:widowControl/>
              <w:ind w:firstLine="180" w:firstLineChars="100"/>
              <w:jc w:val="left"/>
              <w:rPr>
                <w:kern w:val="0"/>
                <w:sz w:val="18"/>
                <w:szCs w:val="18"/>
              </w:rPr>
            </w:pPr>
            <w:r>
              <w:rPr>
                <w:rFonts w:hint="eastAsia"/>
                <w:kern w:val="0"/>
                <w:sz w:val="18"/>
                <w:szCs w:val="18"/>
              </w:rPr>
              <w:t>至少包括如下内容：</w:t>
            </w:r>
          </w:p>
          <w:p>
            <w:pPr>
              <w:widowControl/>
              <w:numPr>
                <w:ilvl w:val="0"/>
                <w:numId w:val="31"/>
              </w:numPr>
              <w:jc w:val="left"/>
              <w:rPr>
                <w:kern w:val="0"/>
                <w:sz w:val="18"/>
                <w:szCs w:val="18"/>
              </w:rPr>
            </w:pPr>
            <w:r>
              <w:rPr>
                <w:rFonts w:hint="eastAsia"/>
                <w:kern w:val="0"/>
                <w:sz w:val="18"/>
                <w:szCs w:val="18"/>
              </w:rPr>
              <w:t>碳排放数据质量控制计划制定、碳排放报告专门人员的指定情况；</w:t>
            </w:r>
          </w:p>
          <w:p>
            <w:pPr>
              <w:widowControl/>
              <w:numPr>
                <w:ilvl w:val="0"/>
                <w:numId w:val="31"/>
              </w:numPr>
              <w:jc w:val="left"/>
              <w:rPr>
                <w:kern w:val="0"/>
                <w:sz w:val="18"/>
                <w:szCs w:val="18"/>
              </w:rPr>
            </w:pPr>
            <w:r>
              <w:rPr>
                <w:rFonts w:hint="eastAsia"/>
                <w:kern w:val="0"/>
                <w:sz w:val="18"/>
                <w:szCs w:val="18"/>
              </w:rPr>
              <w:t>数据质量控制计划的制定、修订、审批以及执行等的管理程序；</w:t>
            </w:r>
          </w:p>
          <w:p>
            <w:pPr>
              <w:widowControl/>
              <w:numPr>
                <w:ilvl w:val="0"/>
                <w:numId w:val="31"/>
              </w:numPr>
              <w:jc w:val="left"/>
              <w:rPr>
                <w:kern w:val="0"/>
                <w:sz w:val="18"/>
                <w:szCs w:val="18"/>
              </w:rPr>
            </w:pPr>
            <w:r>
              <w:rPr>
                <w:rFonts w:hint="eastAsia"/>
                <w:kern w:val="0"/>
                <w:sz w:val="18"/>
                <w:szCs w:val="18"/>
              </w:rPr>
              <w:t>碳排放报告的编写、内部评估以及审批等管理程序；</w:t>
            </w:r>
          </w:p>
          <w:p>
            <w:pPr>
              <w:widowControl/>
              <w:numPr>
                <w:ilvl w:val="0"/>
                <w:numId w:val="31"/>
              </w:numPr>
              <w:jc w:val="left"/>
              <w:rPr>
                <w:kern w:val="0"/>
                <w:sz w:val="18"/>
                <w:szCs w:val="18"/>
              </w:rPr>
            </w:pPr>
            <w:r>
              <w:rPr>
                <w:rFonts w:hint="eastAsia"/>
                <w:kern w:val="0"/>
                <w:sz w:val="18"/>
                <w:szCs w:val="18"/>
              </w:rPr>
              <w:t>碳排放数据文件的归档管理程序等内容。</w:t>
            </w: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p>
          <w:p>
            <w:pPr>
              <w:widowControl/>
              <w:ind w:firstLine="180" w:firstLineChars="100"/>
              <w:jc w:val="left"/>
              <w:rPr>
                <w:kern w:val="0"/>
                <w:sz w:val="18"/>
                <w:szCs w:val="18"/>
              </w:rPr>
            </w:pPr>
            <w:r>
              <w:rPr>
                <w:rFonts w:hint="eastAsia"/>
                <w:kern w:val="0"/>
                <w:sz w:val="18"/>
                <w:szCs w:val="18"/>
              </w:rPr>
              <w:t>（如不能全部描述可增加附件说明）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81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rPr>
                <w:kern w:val="0"/>
                <w:sz w:val="18"/>
                <w:szCs w:val="18"/>
              </w:rPr>
            </w:pPr>
            <w:r>
              <w:rPr>
                <w:rFonts w:hint="eastAsia"/>
                <w:kern w:val="0"/>
                <w:sz w:val="18"/>
                <w:szCs w:val="18"/>
              </w:rPr>
              <w:t>填报人：</w:t>
            </w:r>
          </w:p>
        </w:tc>
        <w:tc>
          <w:tcPr>
            <w:tcW w:w="482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rPr>
                <w:kern w:val="0"/>
                <w:sz w:val="18"/>
                <w:szCs w:val="18"/>
              </w:rPr>
            </w:pPr>
            <w:r>
              <w:rPr>
                <w:rFonts w:hint="eastAsia"/>
                <w:kern w:val="0"/>
                <w:sz w:val="18"/>
                <w:szCs w:val="18"/>
              </w:rPr>
              <w:t>填报时间：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81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rPr>
                <w:kern w:val="0"/>
                <w:sz w:val="18"/>
                <w:szCs w:val="18"/>
              </w:rPr>
            </w:pPr>
            <w:r>
              <w:rPr>
                <w:rFonts w:hint="eastAsia"/>
                <w:kern w:val="0"/>
                <w:sz w:val="18"/>
                <w:szCs w:val="18"/>
              </w:rPr>
              <w:t>内部审核人：</w:t>
            </w:r>
          </w:p>
        </w:tc>
        <w:tc>
          <w:tcPr>
            <w:tcW w:w="482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rPr>
                <w:kern w:val="0"/>
                <w:sz w:val="18"/>
                <w:szCs w:val="18"/>
              </w:rPr>
            </w:pPr>
            <w:r>
              <w:rPr>
                <w:rFonts w:hint="eastAsia"/>
                <w:kern w:val="0"/>
                <w:sz w:val="18"/>
                <w:szCs w:val="18"/>
              </w:rPr>
              <w:t>审核时间：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39"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tcPr>
          <w:p>
            <w:pPr>
              <w:widowControl/>
              <w:jc w:val="left"/>
              <w:rPr>
                <w:kern w:val="0"/>
                <w:sz w:val="18"/>
                <w:szCs w:val="18"/>
              </w:rPr>
            </w:pPr>
            <w:r>
              <w:rPr>
                <w:rFonts w:hint="eastAsia"/>
                <w:kern w:val="0"/>
                <w:sz w:val="18"/>
                <w:szCs w:val="18"/>
              </w:rPr>
              <w:t>填报单位盖章</w:t>
            </w:r>
          </w:p>
          <w:p>
            <w:pPr>
              <w:widowControl/>
              <w:jc w:val="left"/>
              <w:rPr>
                <w:kern w:val="0"/>
                <w:sz w:val="18"/>
                <w:szCs w:val="18"/>
              </w:rPr>
            </w:pPr>
          </w:p>
          <w:p>
            <w:pPr>
              <w:widowControl/>
              <w:jc w:val="left"/>
              <w:rPr>
                <w:kern w:val="0"/>
                <w:sz w:val="18"/>
                <w:szCs w:val="18"/>
              </w:rPr>
            </w:pPr>
          </w:p>
          <w:p>
            <w:pPr>
              <w:widowControl/>
              <w:jc w:val="left"/>
              <w:rPr>
                <w:kern w:val="0"/>
                <w:sz w:val="18"/>
                <w:szCs w:val="18"/>
              </w:rPr>
            </w:pPr>
          </w:p>
        </w:tc>
      </w:tr>
    </w:tbl>
    <w:p>
      <w:pPr>
        <w:adjustRightInd/>
        <w:snapToGrid/>
        <w:ind w:firstLine="0" w:firstLineChars="0"/>
        <w:rPr>
          <w:rFonts w:ascii="宋体"/>
          <w:b/>
          <w:bCs/>
          <w:color w:val="auto"/>
          <w:kern w:val="0"/>
          <w:szCs w:val="20"/>
        </w:rPr>
      </w:pPr>
    </w:p>
    <w:p>
      <w:pPr>
        <w:rPr>
          <w:rFonts w:hint="eastAsia"/>
        </w:rPr>
      </w:pPr>
      <w:r>
        <w:rPr>
          <w:rFonts w:hint="eastAsia"/>
          <w:lang w:val="en-US" w:eastAsia="zh-CN"/>
        </w:rPr>
        <w:br w:type="page"/>
      </w:r>
    </w:p>
    <w:p>
      <w:pPr>
        <w:pStyle w:val="171"/>
        <w:bidi w:val="0"/>
        <w:rPr>
          <w:rFonts w:hint="eastAsia"/>
        </w:rPr>
      </w:pPr>
      <w:bookmarkStart w:id="153" w:name="_Toc9805"/>
      <w:r>
        <w:rPr>
          <w:rFonts w:hint="eastAsia"/>
          <w:lang w:val="en-US" w:eastAsia="zh-CN"/>
        </w:rPr>
        <w:br w:type="textWrapping"/>
      </w:r>
      <w:r>
        <w:rPr>
          <w:rFonts w:hint="eastAsia"/>
        </w:rPr>
        <w:t>（资料性）</w:t>
      </w:r>
      <w:r>
        <w:rPr>
          <w:rFonts w:hint="eastAsia"/>
        </w:rPr>
        <w:br w:type="textWrapping"/>
      </w:r>
      <w:r>
        <w:rPr>
          <w:rFonts w:hint="eastAsia"/>
        </w:rPr>
        <w:t>污水厌氧处理的</w:t>
      </w:r>
      <w:r>
        <w:rPr>
          <w:rFonts w:hint="eastAsia"/>
          <w:lang w:eastAsia="zh-CN"/>
        </w:rPr>
        <w:t>温室气体</w:t>
      </w:r>
      <w:r>
        <w:rPr>
          <w:rFonts w:hint="eastAsia"/>
        </w:rPr>
        <w:t>排放量</w:t>
      </w:r>
      <w:bookmarkEnd w:id="153"/>
    </w:p>
    <w:p>
      <w:pPr>
        <w:pStyle w:val="26"/>
        <w:rPr>
          <w:rFonts w:hint="eastAsia" w:hAnsi="Times New Roman" w:cs="Times New Roman"/>
          <w:color w:val="auto"/>
        </w:rPr>
      </w:pPr>
    </w:p>
    <w:p>
      <w:pPr>
        <w:pStyle w:val="26"/>
        <w:rPr>
          <w:rFonts w:hint="eastAsia" w:ascii="Times New Roman" w:hAnsi="Times New Roman" w:eastAsia="宋体" w:cs="Times New Roman"/>
        </w:rPr>
      </w:pPr>
      <w:r>
        <w:rPr>
          <w:rFonts w:hint="eastAsia" w:ascii="Times New Roman" w:hAnsi="Times New Roman" w:eastAsia="宋体" w:cs="Times New Roman"/>
        </w:rPr>
        <w:t>报告主体采用厌氧工艺处理自身产生的污水产生的</w:t>
      </w:r>
      <w:r>
        <w:rPr>
          <w:rFonts w:hint="eastAsia" w:ascii="Times New Roman" w:cs="Times New Roman"/>
          <w:lang w:val="en-US" w:eastAsia="zh-CN"/>
        </w:rPr>
        <w:t>温室气体</w:t>
      </w:r>
      <w:r>
        <w:rPr>
          <w:rFonts w:hint="eastAsia" w:ascii="Times New Roman" w:hAnsi="Times New Roman" w:eastAsia="宋体" w:cs="Times New Roman"/>
        </w:rPr>
        <w:t>排放量按式（</w:t>
      </w:r>
      <w:r>
        <w:rPr>
          <w:rFonts w:hint="eastAsia" w:ascii="Times New Roman" w:cs="Times New Roman"/>
          <w:lang w:val="en-US" w:eastAsia="zh-CN"/>
        </w:rPr>
        <w:t>D.1</w:t>
      </w:r>
      <w:r>
        <w:rPr>
          <w:rFonts w:hint="eastAsia" w:ascii="Times New Roman" w:hAnsi="Times New Roman" w:eastAsia="宋体" w:cs="Times New Roman"/>
        </w:rPr>
        <w:t>）计算。</w:t>
      </w:r>
      <w:bookmarkStart w:id="154" w:name="pindex355"/>
      <w:bookmarkEnd w:id="154"/>
    </w:p>
    <w:p>
      <w:pPr>
        <w:adjustRightInd w:val="0"/>
        <w:snapToGrid w:val="0"/>
        <w:jc w:val="both"/>
        <w:rPr>
          <w:rFonts w:ascii="宋体"/>
          <w:color w:val="auto"/>
          <w:kern w:val="0"/>
          <w:szCs w:val="20"/>
          <w:highlight w:val="none"/>
        </w:rPr>
      </w:pPr>
      <w:r>
        <w:rPr>
          <w:rFonts w:hint="eastAsia" w:ascii="宋体"/>
          <w:color w:val="auto"/>
          <w:kern w:val="0"/>
          <w:position w:val="-22"/>
          <w:sz w:val="13"/>
          <w:szCs w:val="13"/>
          <w:highlight w:val="none"/>
        </w:rPr>
        <w:object>
          <v:shape id="_x0000_i1031" o:spt="75" type="#_x0000_t75" style="height:28.45pt;width:408.5pt;" o:ole="t" filled="f" o:preferrelative="t" stroked="f" coordsize="21600,21600">
            <v:path/>
            <v:fill on="f" focussize="0,0"/>
            <v:stroke on="f"/>
            <v:imagedata r:id="rId36" o:title=""/>
            <o:lock v:ext="edit" aspectratio="t"/>
            <w10:wrap type="none"/>
            <w10:anchorlock/>
          </v:shape>
          <o:OLEObject Type="Embed" ProgID="Equation.3" ShapeID="_x0000_i1031" DrawAspect="Content" ObjectID="_1468075731" r:id="rId35">
            <o:LockedField>false</o:LockedField>
          </o:OLEObject>
        </w:object>
      </w:r>
      <w:r>
        <w:rPr>
          <w:rFonts w:hint="eastAsia" w:ascii="宋体"/>
          <w:color w:val="auto"/>
          <w:kern w:val="0"/>
          <w:position w:val="-24"/>
          <w:sz w:val="13"/>
          <w:szCs w:val="13"/>
          <w:highlight w:val="none"/>
          <w:lang w:val="en-US" w:eastAsia="zh-CN"/>
        </w:rPr>
        <w:t xml:space="preserve">       </w:t>
      </w:r>
      <w:r>
        <w:rPr>
          <w:rFonts w:hint="eastAsia" w:ascii="宋体"/>
          <w:color w:val="auto"/>
          <w:kern w:val="0"/>
          <w:szCs w:val="20"/>
          <w:highlight w:val="none"/>
        </w:rPr>
        <w:t>（</w:t>
      </w:r>
      <w:r>
        <w:rPr>
          <w:rFonts w:hint="eastAsia" w:ascii="宋体"/>
          <w:color w:val="auto"/>
          <w:kern w:val="0"/>
          <w:szCs w:val="20"/>
          <w:highlight w:val="none"/>
          <w:lang w:val="en-US" w:eastAsia="zh-CN"/>
        </w:rPr>
        <w:t>D.1</w:t>
      </w:r>
      <w:r>
        <w:rPr>
          <w:rFonts w:hint="eastAsia" w:ascii="宋体"/>
          <w:color w:val="auto"/>
          <w:kern w:val="0"/>
          <w:szCs w:val="20"/>
          <w:highlight w:val="none"/>
        </w:rPr>
        <w:t>）</w:t>
      </w:r>
      <w:bookmarkStart w:id="155" w:name="pindex356"/>
      <w:bookmarkEnd w:id="155"/>
    </w:p>
    <w:p>
      <w:pPr>
        <w:adjustRightInd w:val="0"/>
        <w:snapToGrid w:val="0"/>
        <w:ind w:firstLine="420" w:firstLineChars="200"/>
        <w:rPr>
          <w:rFonts w:ascii="宋体"/>
          <w:color w:val="auto"/>
          <w:kern w:val="0"/>
          <w:szCs w:val="20"/>
          <w:highlight w:val="none"/>
        </w:rPr>
      </w:pPr>
      <w:r>
        <w:rPr>
          <w:rFonts w:hint="eastAsia" w:ascii="宋体"/>
          <w:color w:val="auto"/>
          <w:kern w:val="0"/>
          <w:szCs w:val="20"/>
          <w:highlight w:val="none"/>
        </w:rPr>
        <w:t>式中：</w:t>
      </w:r>
    </w:p>
    <w:p>
      <w:pPr>
        <w:adjustRightInd w:val="0"/>
        <w:snapToGrid w:val="0"/>
        <w:ind w:firstLine="420" w:firstLineChars="200"/>
        <w:rPr>
          <w:rFonts w:ascii="宋体"/>
          <w:color w:val="auto"/>
          <w:kern w:val="0"/>
          <w:szCs w:val="20"/>
          <w:highlight w:val="none"/>
        </w:rPr>
      </w:pPr>
      <w:r>
        <w:rPr>
          <w:rFonts w:hint="eastAsia" w:ascii="宋体"/>
          <w:color w:val="auto"/>
          <w:kern w:val="0"/>
          <w:position w:val="-14"/>
          <w:szCs w:val="20"/>
          <w:highlight w:val="none"/>
          <w:vertAlign w:val="subscript"/>
        </w:rPr>
        <w:object>
          <v:shape id="_x0000_i1032" o:spt="75" type="#_x0000_t75" style="height:19.05pt;width:26.1pt;" o:ole="t" filled="f" o:preferrelative="t" stroked="f" coordsize="21600,21600">
            <v:path/>
            <v:fill on="f" focussize="0,0"/>
            <v:stroke on="f"/>
            <v:imagedata r:id="rId38" o:title=""/>
            <o:lock v:ext="edit" aspectratio="t"/>
            <w10:wrap type="none"/>
            <w10:anchorlock/>
          </v:shape>
          <o:OLEObject Type="Embed" ProgID="Equation.3" ShapeID="_x0000_i1032" DrawAspect="Content" ObjectID="_1468075732" r:id="rId37">
            <o:LockedField>false</o:LockedField>
          </o:OLEObject>
        </w:object>
      </w:r>
      <w:r>
        <w:rPr>
          <w:rFonts w:hint="eastAsia" w:ascii="宋体"/>
          <w:color w:val="auto"/>
          <w:kern w:val="0"/>
          <w:szCs w:val="20"/>
          <w:highlight w:val="none"/>
        </w:rPr>
        <w:t>——污水厌氧处理的</w:t>
      </w:r>
      <w:r>
        <w:rPr>
          <w:rFonts w:hint="eastAsia" w:ascii="宋体"/>
          <w:color w:val="auto"/>
          <w:kern w:val="0"/>
          <w:szCs w:val="20"/>
          <w:highlight w:val="none"/>
          <w:lang w:val="en-US" w:eastAsia="zh-CN"/>
        </w:rPr>
        <w:t>温室气体</w:t>
      </w:r>
      <w:r>
        <w:rPr>
          <w:rFonts w:hint="eastAsia" w:ascii="宋体"/>
          <w:color w:val="auto"/>
          <w:kern w:val="0"/>
          <w:szCs w:val="20"/>
          <w:highlight w:val="none"/>
        </w:rPr>
        <w:t>排放量，单位为吨</w:t>
      </w:r>
      <w:r>
        <w:rPr>
          <w:rFonts w:hint="eastAsia" w:ascii="宋体"/>
          <w:color w:val="auto"/>
          <w:kern w:val="0"/>
          <w:szCs w:val="20"/>
          <w:highlight w:val="none"/>
          <w:lang w:val="en-US" w:eastAsia="zh-CN"/>
        </w:rPr>
        <w:t>二氧化碳当量</w:t>
      </w:r>
      <w:r>
        <w:rPr>
          <w:rFonts w:hint="eastAsia" w:ascii="宋体"/>
          <w:color w:val="auto"/>
          <w:kern w:val="0"/>
          <w:szCs w:val="20"/>
          <w:highlight w:val="none"/>
        </w:rPr>
        <w:t>（t</w:t>
      </w:r>
      <w:r>
        <w:rPr>
          <w:rFonts w:hint="eastAsia" w:ascii="宋体"/>
          <w:color w:val="auto"/>
          <w:kern w:val="0"/>
          <w:szCs w:val="20"/>
          <w:highlight w:val="none"/>
          <w:lang w:val="en-US" w:eastAsia="zh-CN"/>
        </w:rPr>
        <w:t>CO</w:t>
      </w:r>
      <w:r>
        <w:rPr>
          <w:rFonts w:hint="eastAsia" w:ascii="宋体"/>
          <w:color w:val="auto"/>
          <w:kern w:val="0"/>
          <w:szCs w:val="20"/>
          <w:highlight w:val="none"/>
          <w:vertAlign w:val="subscript"/>
          <w:lang w:val="en-US" w:eastAsia="zh-CN"/>
        </w:rPr>
        <w:t>2</w:t>
      </w:r>
      <w:r>
        <w:rPr>
          <w:rFonts w:hint="eastAsia" w:ascii="宋体"/>
          <w:color w:val="auto"/>
          <w:kern w:val="0"/>
          <w:szCs w:val="20"/>
          <w:highlight w:val="none"/>
          <w:lang w:val="en-US" w:eastAsia="zh-CN"/>
        </w:rPr>
        <w:t>e</w:t>
      </w:r>
      <w:r>
        <w:rPr>
          <w:rFonts w:hint="eastAsia" w:ascii="宋体"/>
          <w:color w:val="auto"/>
          <w:kern w:val="0"/>
          <w:szCs w:val="20"/>
          <w:highlight w:val="none"/>
        </w:rPr>
        <w:t>）；</w:t>
      </w:r>
    </w:p>
    <w:p>
      <w:pPr>
        <w:adjustRightInd w:val="0"/>
        <w:snapToGrid w:val="0"/>
        <w:ind w:firstLine="420" w:firstLineChars="200"/>
        <w:rPr>
          <w:rFonts w:ascii="宋体"/>
          <w:color w:val="auto"/>
          <w:kern w:val="0"/>
          <w:szCs w:val="20"/>
          <w:highlight w:val="none"/>
        </w:rPr>
      </w:pPr>
      <w:bookmarkStart w:id="156" w:name="sys359053"/>
      <w:r>
        <w:rPr>
          <w:rFonts w:hint="eastAsia" w:ascii="宋体"/>
          <w:color w:val="auto"/>
          <w:kern w:val="0"/>
          <w:szCs w:val="20"/>
          <w:highlight w:val="none"/>
        </w:rPr>
        <w:t>TOW——污水中可降解有机物的总量，以化学需氧量（COD）为计量指标，单位为千克化学需氧量（kgCOD）</w:t>
      </w:r>
      <w:r>
        <w:rPr>
          <w:rFonts w:hint="eastAsia" w:ascii="宋体"/>
          <w:color w:val="auto"/>
          <w:kern w:val="0"/>
          <w:szCs w:val="20"/>
          <w:highlight w:val="none"/>
          <w:lang w:val="en-US" w:eastAsia="zh-CN"/>
        </w:rPr>
        <w:t>,按式（D.2)计算</w:t>
      </w:r>
      <w:r>
        <w:rPr>
          <w:rFonts w:hint="eastAsia" w:ascii="宋体"/>
          <w:color w:val="auto"/>
          <w:kern w:val="0"/>
          <w:szCs w:val="20"/>
          <w:highlight w:val="none"/>
        </w:rPr>
        <w:t>；</w:t>
      </w:r>
      <w:bookmarkEnd w:id="156"/>
    </w:p>
    <w:p>
      <w:pPr>
        <w:adjustRightInd w:val="0"/>
        <w:snapToGrid w:val="0"/>
        <w:ind w:firstLine="420" w:firstLineChars="200"/>
        <w:rPr>
          <w:rFonts w:hint="default" w:ascii="宋体" w:eastAsia="宋体"/>
          <w:color w:val="auto"/>
          <w:kern w:val="0"/>
          <w:szCs w:val="20"/>
          <w:highlight w:val="none"/>
          <w:lang w:val="en-US" w:eastAsia="zh-CN"/>
        </w:rPr>
      </w:pPr>
      <w:bookmarkStart w:id="157" w:name="sys360052"/>
      <w:r>
        <w:rPr>
          <w:rFonts w:hint="eastAsia" w:ascii="宋体"/>
          <w:color w:val="auto"/>
          <w:kern w:val="0"/>
          <w:szCs w:val="20"/>
          <w:highlight w:val="none"/>
        </w:rPr>
        <w:t>S——以污泥形式清理的有机物总量，以化学需氧量（COD）为计量指标，单位为千克化学需氧量（kgCOD）</w:t>
      </w:r>
      <w:bookmarkEnd w:id="157"/>
      <w:r>
        <w:rPr>
          <w:rFonts w:hint="eastAsia" w:ascii="宋体"/>
          <w:color w:val="auto"/>
          <w:kern w:val="0"/>
          <w:szCs w:val="20"/>
          <w:highlight w:val="none"/>
          <w:lang w:val="en-US" w:eastAsia="zh-CN"/>
        </w:rPr>
        <w:t>,按式（D.3)计算；</w:t>
      </w:r>
    </w:p>
    <w:p>
      <w:pPr>
        <w:adjustRightInd w:val="0"/>
        <w:snapToGrid w:val="0"/>
        <w:ind w:left="420" w:leftChars="200" w:firstLine="0" w:firstLineChars="0"/>
        <w:rPr>
          <w:rFonts w:ascii="宋体"/>
          <w:color w:val="auto"/>
          <w:kern w:val="0"/>
          <w:szCs w:val="20"/>
        </w:rPr>
      </w:pPr>
      <w:r>
        <w:rPr>
          <w:rFonts w:hint="eastAsia" w:ascii="宋体"/>
          <w:color w:val="auto"/>
          <w:kern w:val="0"/>
          <w:position w:val="-16"/>
          <w:szCs w:val="20"/>
          <w:highlight w:val="none"/>
        </w:rPr>
        <w:object>
          <v:shape id="_x0000_i1033" o:spt="75" type="#_x0000_t75" style="height:20.05pt;width:50.1pt;" o:ole="t" filled="f" o:preferrelative="t" stroked="f" coordsize="21600,21600">
            <v:path/>
            <v:fill on="f" focussize="0,0"/>
            <v:stroke on="f" joinstyle="miter"/>
            <v:imagedata r:id="rId40" o:title=""/>
            <o:lock v:ext="edit" aspectratio="t"/>
            <w10:wrap type="none"/>
            <w10:anchorlock/>
          </v:shape>
          <o:OLEObject Type="Embed" ProgID="Equation.3" ShapeID="_x0000_i1033" DrawAspect="Content" ObjectID="_1468075733" r:id="rId39">
            <o:LockedField>false</o:LockedField>
          </o:OLEObject>
        </w:object>
      </w:r>
      <w:r>
        <w:rPr>
          <w:rFonts w:hint="eastAsia" w:ascii="宋体"/>
          <w:color w:val="auto"/>
          <w:kern w:val="0"/>
          <w:szCs w:val="20"/>
          <w:highlight w:val="none"/>
        </w:rPr>
        <w:t>——污水厌氧处理的CH</w:t>
      </w:r>
      <w:r>
        <w:rPr>
          <w:rFonts w:hint="eastAsia" w:ascii="宋体"/>
          <w:color w:val="auto"/>
          <w:kern w:val="0"/>
          <w:szCs w:val="20"/>
          <w:highlight w:val="none"/>
          <w:vertAlign w:val="subscript"/>
        </w:rPr>
        <w:t>4</w:t>
      </w:r>
      <w:r>
        <w:rPr>
          <w:rFonts w:hint="eastAsia" w:ascii="宋体"/>
          <w:color w:val="auto"/>
          <w:kern w:val="0"/>
          <w:szCs w:val="20"/>
          <w:highlight w:val="none"/>
        </w:rPr>
        <w:t>排放因子，单位为千克甲烷每千克化学需氧量（kgCH</w:t>
      </w:r>
      <w:r>
        <w:rPr>
          <w:rFonts w:hint="eastAsia" w:ascii="宋体"/>
          <w:color w:val="auto"/>
          <w:kern w:val="0"/>
          <w:szCs w:val="20"/>
          <w:highlight w:val="none"/>
          <w:vertAlign w:val="subscript"/>
        </w:rPr>
        <w:t>4</w:t>
      </w:r>
      <w:r>
        <w:rPr>
          <w:rFonts w:hint="eastAsia" w:ascii="宋体"/>
          <w:color w:val="auto"/>
          <w:kern w:val="0"/>
          <w:szCs w:val="20"/>
          <w:highlight w:val="none"/>
        </w:rPr>
        <w:t>/kgCOD）</w:t>
      </w:r>
      <w:r>
        <w:rPr>
          <w:rFonts w:hint="eastAsia" w:ascii="宋体"/>
          <w:color w:val="auto"/>
          <w:kern w:val="0"/>
          <w:szCs w:val="20"/>
          <w:highlight w:val="none"/>
          <w:lang w:eastAsia="zh-CN"/>
        </w:rPr>
        <w:t>；</w:t>
      </w:r>
      <w:r>
        <w:rPr>
          <w:rFonts w:hint="eastAsia" w:ascii="宋体"/>
          <w:color w:val="auto"/>
          <w:kern w:val="0"/>
          <w:position w:val="-16"/>
          <w:szCs w:val="20"/>
        </w:rPr>
        <w:object>
          <v:shape id="_x0000_i1034" o:spt="75" type="#_x0000_t75" style="height:20.05pt;width:38.8pt;" o:ole="t" filled="f" o:preferrelative="t" stroked="f" coordsize="21600,21600">
            <v:path/>
            <v:fill on="f" focussize="0,0"/>
            <v:stroke on="f" joinstyle="miter"/>
            <v:imagedata r:id="rId42" o:title=""/>
            <o:lock v:ext="edit" aspectratio="t"/>
            <w10:wrap type="none"/>
            <w10:anchorlock/>
          </v:shape>
          <o:OLEObject Type="Embed" ProgID="Equation.3" ShapeID="_x0000_i1034" DrawAspect="Content" ObjectID="_1468075734" r:id="rId41">
            <o:LockedField>false</o:LockedField>
          </o:OLEObject>
        </w:object>
      </w:r>
      <w:r>
        <w:rPr>
          <w:rFonts w:hint="eastAsia" w:ascii="宋体"/>
          <w:color w:val="auto"/>
          <w:kern w:val="0"/>
          <w:szCs w:val="20"/>
        </w:rPr>
        <w:t>——报告主体回收自用的CH</w:t>
      </w:r>
      <w:r>
        <w:rPr>
          <w:rFonts w:hint="eastAsia" w:ascii="宋体"/>
          <w:color w:val="auto"/>
          <w:kern w:val="0"/>
          <w:szCs w:val="20"/>
          <w:vertAlign w:val="subscript"/>
        </w:rPr>
        <w:t>4</w:t>
      </w:r>
      <w:r>
        <w:rPr>
          <w:rFonts w:hint="eastAsia" w:ascii="宋体"/>
          <w:color w:val="auto"/>
          <w:kern w:val="0"/>
          <w:szCs w:val="20"/>
        </w:rPr>
        <w:t>量，单位为吨（t）</w:t>
      </w:r>
      <w:r>
        <w:rPr>
          <w:rFonts w:hint="eastAsia" w:ascii="宋体"/>
          <w:color w:val="auto"/>
          <w:kern w:val="0"/>
          <w:szCs w:val="20"/>
          <w:lang w:val="en-US" w:eastAsia="zh-CN"/>
        </w:rPr>
        <w:t>,按式（D.4)计算</w:t>
      </w:r>
      <w:r>
        <w:rPr>
          <w:rFonts w:hint="eastAsia" w:ascii="宋体"/>
          <w:color w:val="auto"/>
          <w:kern w:val="0"/>
          <w:szCs w:val="20"/>
        </w:rPr>
        <w:t>；</w:t>
      </w:r>
    </w:p>
    <w:p>
      <w:pPr>
        <w:adjustRightInd w:val="0"/>
        <w:snapToGrid w:val="0"/>
        <w:ind w:firstLine="420" w:firstLineChars="200"/>
        <w:rPr>
          <w:rFonts w:ascii="宋体"/>
          <w:color w:val="auto"/>
          <w:kern w:val="0"/>
          <w:szCs w:val="20"/>
        </w:rPr>
      </w:pPr>
      <w:r>
        <w:rPr>
          <w:rFonts w:hint="eastAsia" w:ascii="宋体"/>
          <w:color w:val="auto"/>
          <w:kern w:val="0"/>
          <w:position w:val="-16"/>
          <w:szCs w:val="20"/>
        </w:rPr>
        <w:object>
          <v:shape id="_x0000_i1035" o:spt="75" type="#_x0000_t75" style="height:20.05pt;width:40.05pt;" o:ole="t" filled="f" o:preferrelative="t" stroked="f" coordsize="21600,21600">
            <v:path/>
            <v:fill on="f" focussize="0,0"/>
            <v:stroke on="f" joinstyle="miter"/>
            <v:imagedata r:id="rId44" o:title=""/>
            <o:lock v:ext="edit" aspectratio="t"/>
            <w10:wrap type="none"/>
            <w10:anchorlock/>
          </v:shape>
          <o:OLEObject Type="Embed" ProgID="Equation.3" ShapeID="_x0000_i1035" DrawAspect="Content" ObjectID="_1468075735" r:id="rId43">
            <o:LockedField>false</o:LockedField>
          </o:OLEObject>
        </w:object>
      </w:r>
      <w:r>
        <w:rPr>
          <w:rFonts w:hint="eastAsia" w:ascii="宋体"/>
          <w:color w:val="auto"/>
          <w:kern w:val="0"/>
          <w:szCs w:val="20"/>
        </w:rPr>
        <w:t>——报告主体回收外供给其他单位的CH</w:t>
      </w:r>
      <w:r>
        <w:rPr>
          <w:rFonts w:hint="eastAsia" w:ascii="宋体"/>
          <w:color w:val="auto"/>
          <w:kern w:val="0"/>
          <w:szCs w:val="20"/>
          <w:vertAlign w:val="subscript"/>
        </w:rPr>
        <w:t>4</w:t>
      </w:r>
      <w:r>
        <w:rPr>
          <w:rFonts w:hint="eastAsia" w:ascii="宋体"/>
          <w:color w:val="auto"/>
          <w:kern w:val="0"/>
          <w:szCs w:val="20"/>
        </w:rPr>
        <w:t>量，单位为吨（t）</w:t>
      </w:r>
      <w:r>
        <w:rPr>
          <w:rFonts w:hint="eastAsia" w:ascii="宋体"/>
          <w:color w:val="auto"/>
          <w:kern w:val="0"/>
          <w:szCs w:val="20"/>
          <w:lang w:val="en-US" w:eastAsia="zh-CN"/>
        </w:rPr>
        <w:t>,按式（D.5)计算</w:t>
      </w:r>
      <w:r>
        <w:rPr>
          <w:rFonts w:hint="eastAsia" w:ascii="宋体"/>
          <w:color w:val="auto"/>
          <w:kern w:val="0"/>
          <w:szCs w:val="20"/>
        </w:rPr>
        <w:t>；</w:t>
      </w:r>
    </w:p>
    <w:p>
      <w:pPr>
        <w:adjustRightInd w:val="0"/>
        <w:snapToGrid w:val="0"/>
        <w:ind w:firstLine="420" w:firstLineChars="200"/>
        <w:rPr>
          <w:rFonts w:hint="eastAsia" w:ascii="宋体"/>
          <w:color w:val="auto"/>
          <w:kern w:val="0"/>
          <w:szCs w:val="20"/>
          <w:lang w:val="en-US" w:eastAsia="zh-CN"/>
        </w:rPr>
      </w:pPr>
      <w:r>
        <w:rPr>
          <w:rFonts w:hint="eastAsia" w:ascii="宋体"/>
          <w:color w:val="auto"/>
          <w:kern w:val="0"/>
          <w:position w:val="-16"/>
          <w:szCs w:val="20"/>
        </w:rPr>
        <w:object>
          <v:shape id="_x0000_i1036" o:spt="75" type="#_x0000_t75" style="height:20.05pt;width:40.7pt;" o:ole="t" filled="f" o:preferrelative="t" stroked="f" coordsize="21600,21600">
            <v:path/>
            <v:fill on="f" focussize="0,0"/>
            <v:stroke on="f" joinstyle="miter"/>
            <v:imagedata r:id="rId46" o:title=""/>
            <o:lock v:ext="edit" aspectratio="t"/>
            <w10:wrap type="none"/>
            <w10:anchorlock/>
          </v:shape>
          <o:OLEObject Type="Embed" ProgID="Equation.3" ShapeID="_x0000_i1036" DrawAspect="Content" ObjectID="_1468075736" r:id="rId45">
            <o:LockedField>false</o:LockedField>
          </o:OLEObject>
        </w:object>
      </w:r>
      <w:r>
        <w:rPr>
          <w:rFonts w:hint="eastAsia" w:ascii="宋体"/>
          <w:color w:val="auto"/>
          <w:kern w:val="0"/>
          <w:szCs w:val="20"/>
        </w:rPr>
        <w:t>——报告主体通过火炬销毁的CH</w:t>
      </w:r>
      <w:r>
        <w:rPr>
          <w:rFonts w:hint="eastAsia" w:ascii="宋体"/>
          <w:color w:val="auto"/>
          <w:kern w:val="0"/>
          <w:szCs w:val="20"/>
          <w:vertAlign w:val="subscript"/>
        </w:rPr>
        <w:t>4</w:t>
      </w:r>
      <w:r>
        <w:rPr>
          <w:rFonts w:hint="eastAsia" w:ascii="宋体"/>
          <w:color w:val="auto"/>
          <w:kern w:val="0"/>
          <w:szCs w:val="20"/>
        </w:rPr>
        <w:t>量，单位为吨（t）</w:t>
      </w:r>
      <w:r>
        <w:rPr>
          <w:rFonts w:hint="eastAsia" w:ascii="宋体"/>
          <w:color w:val="auto"/>
          <w:kern w:val="0"/>
          <w:szCs w:val="20"/>
          <w:lang w:val="en-US" w:eastAsia="zh-CN"/>
        </w:rPr>
        <w:t>,按式（D.6)计算</w:t>
      </w:r>
    </w:p>
    <w:p>
      <w:pPr>
        <w:adjustRightInd w:val="0"/>
        <w:snapToGrid w:val="0"/>
        <w:ind w:firstLine="420" w:firstLineChars="200"/>
        <w:rPr>
          <w:rFonts w:hint="default" w:ascii="宋体"/>
          <w:color w:val="auto"/>
          <w:kern w:val="0"/>
          <w:szCs w:val="20"/>
          <w:lang w:val="en-US" w:eastAsia="zh-CN"/>
        </w:rPr>
      </w:pPr>
      <w:r>
        <w:rPr>
          <w:rFonts w:hint="eastAsia" w:ascii="宋体"/>
          <w:color w:val="auto"/>
          <w:kern w:val="0"/>
          <w:szCs w:val="20"/>
          <w:lang w:val="en-US" w:eastAsia="zh-CN"/>
        </w:rPr>
        <w:t>GWP</w:t>
      </w:r>
      <w:r>
        <w:rPr>
          <w:rFonts w:hint="eastAsia" w:ascii="宋体"/>
          <w:color w:val="auto"/>
          <w:kern w:val="0"/>
          <w:szCs w:val="20"/>
          <w:vertAlign w:val="subscript"/>
          <w:lang w:val="en-US" w:eastAsia="zh-CN"/>
        </w:rPr>
        <w:t>CH4</w:t>
      </w:r>
      <w:r>
        <w:rPr>
          <w:rFonts w:hint="eastAsia" w:ascii="宋体"/>
          <w:color w:val="auto"/>
          <w:kern w:val="0"/>
          <w:szCs w:val="20"/>
          <w:lang w:val="en-US" w:eastAsia="zh-CN"/>
        </w:rPr>
        <w:t>——甲烷的全球增温潜势，单位为吨二氧化碳当量每吨甲烷（</w:t>
      </w:r>
      <w:r>
        <w:rPr>
          <w:rFonts w:hint="eastAsia" w:ascii="宋体"/>
          <w:color w:val="auto"/>
          <w:kern w:val="0"/>
          <w:szCs w:val="20"/>
          <w:highlight w:val="none"/>
        </w:rPr>
        <w:t>t</w:t>
      </w:r>
      <w:r>
        <w:rPr>
          <w:rFonts w:hint="eastAsia" w:ascii="宋体"/>
          <w:color w:val="auto"/>
          <w:kern w:val="0"/>
          <w:szCs w:val="20"/>
          <w:highlight w:val="none"/>
          <w:lang w:val="en-US" w:eastAsia="zh-CN"/>
        </w:rPr>
        <w:t>CO</w:t>
      </w:r>
      <w:r>
        <w:rPr>
          <w:rFonts w:hint="eastAsia" w:ascii="宋体"/>
          <w:color w:val="auto"/>
          <w:kern w:val="0"/>
          <w:szCs w:val="20"/>
          <w:highlight w:val="none"/>
          <w:vertAlign w:val="subscript"/>
          <w:lang w:val="en-US" w:eastAsia="zh-CN"/>
        </w:rPr>
        <w:t>2</w:t>
      </w:r>
      <w:r>
        <w:rPr>
          <w:rFonts w:hint="eastAsia" w:ascii="宋体"/>
          <w:color w:val="auto"/>
          <w:kern w:val="0"/>
          <w:szCs w:val="20"/>
          <w:highlight w:val="none"/>
          <w:lang w:val="en-US" w:eastAsia="zh-CN"/>
        </w:rPr>
        <w:t>e/tCH</w:t>
      </w:r>
      <w:r>
        <w:rPr>
          <w:rFonts w:hint="eastAsia" w:ascii="宋体"/>
          <w:color w:val="auto"/>
          <w:kern w:val="0"/>
          <w:szCs w:val="20"/>
          <w:highlight w:val="none"/>
          <w:vertAlign w:val="subscript"/>
          <w:lang w:val="en-US" w:eastAsia="zh-CN"/>
        </w:rPr>
        <w:t>4</w:t>
      </w:r>
      <w:r>
        <w:rPr>
          <w:rFonts w:hint="eastAsia" w:ascii="宋体"/>
          <w:color w:val="auto"/>
          <w:kern w:val="0"/>
          <w:szCs w:val="20"/>
          <w:highlight w:val="none"/>
          <w:lang w:val="en-US" w:eastAsia="zh-CN"/>
        </w:rPr>
        <w:t>）</w:t>
      </w:r>
    </w:p>
    <w:p>
      <w:pPr>
        <w:adjustRightInd w:val="0"/>
        <w:snapToGrid w:val="0"/>
        <w:ind w:firstLine="420" w:firstLineChars="200"/>
        <w:rPr>
          <w:rFonts w:hint="eastAsia" w:ascii="宋体"/>
          <w:color w:val="auto"/>
          <w:kern w:val="0"/>
          <w:szCs w:val="20"/>
          <w:highlight w:val="none"/>
        </w:rPr>
      </w:pPr>
    </w:p>
    <w:p>
      <w:pPr>
        <w:wordWrap w:val="0"/>
        <w:adjustRightInd w:val="0"/>
        <w:snapToGrid w:val="0"/>
        <w:ind w:firstLine="420" w:firstLineChars="200"/>
        <w:jc w:val="right"/>
        <w:rPr>
          <w:rFonts w:ascii="宋体"/>
          <w:color w:val="auto"/>
          <w:kern w:val="0"/>
          <w:szCs w:val="20"/>
          <w:highlight w:val="none"/>
        </w:rPr>
      </w:pPr>
      <w:r>
        <w:rPr>
          <w:rFonts w:hint="eastAsia" w:ascii="宋体"/>
          <w:color w:val="auto"/>
          <w:kern w:val="0"/>
          <w:position w:val="-12"/>
          <w:szCs w:val="20"/>
          <w:highlight w:val="none"/>
        </w:rPr>
        <w:object>
          <v:shape id="_x0000_i1037" o:spt="75" type="#_x0000_t75" style="height:18.15pt;width:149pt;" o:ole="t" filled="f" o:preferrelative="t" stroked="f" coordsize="21600,21600">
            <v:path/>
            <v:fill on="f" focussize="0,0"/>
            <v:stroke on="f" joinstyle="miter"/>
            <v:imagedata r:id="rId48" o:title=""/>
            <o:lock v:ext="edit" aspectratio="t"/>
            <w10:wrap type="none"/>
            <w10:anchorlock/>
          </v:shape>
          <o:OLEObject Type="Embed" ProgID="Equation.3" ShapeID="_x0000_i1037" DrawAspect="Content" ObjectID="_1468075737" r:id="rId47">
            <o:LockedField>false</o:LockedField>
          </o:OLEObject>
        </w:object>
      </w:r>
      <w:r>
        <w:rPr>
          <w:rFonts w:hint="eastAsia" w:ascii="宋体"/>
          <w:color w:val="auto"/>
          <w:kern w:val="0"/>
          <w:szCs w:val="20"/>
          <w:highlight w:val="none"/>
        </w:rPr>
        <w:t xml:space="preserve">                           （</w:t>
      </w:r>
      <w:r>
        <w:rPr>
          <w:rFonts w:hint="eastAsia" w:ascii="宋体"/>
          <w:color w:val="auto"/>
          <w:kern w:val="0"/>
          <w:szCs w:val="20"/>
          <w:highlight w:val="none"/>
          <w:lang w:val="en-US" w:eastAsia="zh-CN"/>
        </w:rPr>
        <w:t>D.2</w:t>
      </w:r>
      <w:r>
        <w:rPr>
          <w:rFonts w:hint="eastAsia" w:ascii="宋体"/>
          <w:color w:val="auto"/>
          <w:kern w:val="0"/>
          <w:szCs w:val="20"/>
          <w:highlight w:val="none"/>
        </w:rPr>
        <w:t>）</w:t>
      </w:r>
      <w:bookmarkStart w:id="158" w:name="pindex363"/>
      <w:bookmarkEnd w:id="158"/>
    </w:p>
    <w:p>
      <w:pPr>
        <w:adjustRightInd w:val="0"/>
        <w:snapToGrid w:val="0"/>
        <w:ind w:firstLine="420" w:firstLineChars="200"/>
        <w:rPr>
          <w:rFonts w:ascii="宋体"/>
          <w:color w:val="auto"/>
          <w:kern w:val="0"/>
          <w:szCs w:val="20"/>
          <w:highlight w:val="none"/>
        </w:rPr>
      </w:pPr>
      <w:r>
        <w:rPr>
          <w:rFonts w:hint="eastAsia" w:ascii="宋体"/>
          <w:color w:val="auto"/>
          <w:kern w:val="0"/>
          <w:szCs w:val="20"/>
          <w:highlight w:val="none"/>
        </w:rPr>
        <w:t>式中：</w:t>
      </w:r>
    </w:p>
    <w:p>
      <w:pPr>
        <w:adjustRightInd w:val="0"/>
        <w:snapToGrid w:val="0"/>
        <w:ind w:firstLine="420" w:firstLineChars="200"/>
        <w:rPr>
          <w:rFonts w:ascii="宋体"/>
          <w:color w:val="auto"/>
          <w:kern w:val="0"/>
          <w:szCs w:val="20"/>
          <w:highlight w:val="none"/>
        </w:rPr>
      </w:pPr>
      <w:r>
        <w:rPr>
          <w:rFonts w:hint="eastAsia" w:ascii="宋体"/>
          <w:color w:val="auto"/>
          <w:kern w:val="0"/>
          <w:szCs w:val="20"/>
          <w:highlight w:val="none"/>
        </w:rPr>
        <w:t>W——厌氧处理的污水总量，单位为立方米每年（m</w:t>
      </w:r>
      <w:r>
        <w:rPr>
          <w:rFonts w:hint="eastAsia" w:ascii="宋体"/>
          <w:color w:val="auto"/>
          <w:kern w:val="0"/>
          <w:szCs w:val="20"/>
          <w:highlight w:val="none"/>
          <w:vertAlign w:val="superscript"/>
        </w:rPr>
        <w:t>3</w:t>
      </w:r>
      <w:r>
        <w:rPr>
          <w:rFonts w:hint="eastAsia" w:ascii="宋体"/>
          <w:color w:val="auto"/>
          <w:kern w:val="0"/>
          <w:szCs w:val="20"/>
          <w:highlight w:val="none"/>
        </w:rPr>
        <w:t>/a）；</w:t>
      </w:r>
    </w:p>
    <w:p>
      <w:pPr>
        <w:adjustRightInd w:val="0"/>
        <w:snapToGrid w:val="0"/>
        <w:ind w:firstLine="420" w:firstLineChars="200"/>
        <w:rPr>
          <w:rFonts w:ascii="宋体"/>
          <w:color w:val="auto"/>
          <w:kern w:val="0"/>
          <w:szCs w:val="20"/>
          <w:highlight w:val="none"/>
        </w:rPr>
      </w:pPr>
      <w:bookmarkStart w:id="159" w:name="sys366053"/>
      <w:r>
        <w:rPr>
          <w:rFonts w:hint="eastAsia" w:ascii="宋体"/>
          <w:color w:val="auto"/>
          <w:kern w:val="0"/>
          <w:szCs w:val="20"/>
          <w:highlight w:val="none"/>
        </w:rPr>
        <w:t>COD</w:t>
      </w:r>
      <w:r>
        <w:rPr>
          <w:rFonts w:hint="eastAsia" w:ascii="宋体"/>
          <w:color w:val="auto"/>
          <w:kern w:val="0"/>
          <w:szCs w:val="20"/>
          <w:highlight w:val="none"/>
          <w:vertAlign w:val="subscript"/>
        </w:rPr>
        <w:t>in</w:t>
      </w:r>
      <w:r>
        <w:rPr>
          <w:rFonts w:hint="eastAsia" w:ascii="宋体"/>
          <w:color w:val="auto"/>
          <w:kern w:val="0"/>
          <w:szCs w:val="20"/>
          <w:highlight w:val="none"/>
        </w:rPr>
        <w:t>——进入厌氧处理系统的污水平均化学需氧量浓度，单位为千克化学需氧量每立方米（kgCOD/m</w:t>
      </w:r>
      <w:r>
        <w:rPr>
          <w:rFonts w:hint="eastAsia" w:ascii="宋体"/>
          <w:color w:val="auto"/>
          <w:kern w:val="0"/>
          <w:szCs w:val="20"/>
          <w:highlight w:val="none"/>
          <w:vertAlign w:val="superscript"/>
        </w:rPr>
        <w:t>3</w:t>
      </w:r>
      <w:r>
        <w:rPr>
          <w:rFonts w:hint="eastAsia" w:ascii="宋体"/>
          <w:color w:val="auto"/>
          <w:kern w:val="0"/>
          <w:szCs w:val="20"/>
          <w:highlight w:val="none"/>
        </w:rPr>
        <w:t>）；</w:t>
      </w:r>
      <w:bookmarkEnd w:id="159"/>
    </w:p>
    <w:p>
      <w:pPr>
        <w:adjustRightInd w:val="0"/>
        <w:snapToGrid w:val="0"/>
        <w:ind w:firstLine="420" w:firstLineChars="200"/>
        <w:rPr>
          <w:rFonts w:ascii="宋体"/>
          <w:color w:val="auto"/>
          <w:kern w:val="0"/>
          <w:szCs w:val="20"/>
          <w:highlight w:val="none"/>
        </w:rPr>
      </w:pPr>
      <w:bookmarkStart w:id="160" w:name="sys367057"/>
      <w:r>
        <w:rPr>
          <w:rFonts w:hint="eastAsia" w:ascii="宋体"/>
          <w:color w:val="auto"/>
          <w:kern w:val="0"/>
          <w:szCs w:val="20"/>
          <w:highlight w:val="none"/>
        </w:rPr>
        <w:t>COD</w:t>
      </w:r>
      <w:r>
        <w:rPr>
          <w:rFonts w:hint="eastAsia" w:ascii="宋体"/>
          <w:color w:val="auto"/>
          <w:kern w:val="0"/>
          <w:szCs w:val="20"/>
          <w:highlight w:val="none"/>
          <w:vertAlign w:val="subscript"/>
        </w:rPr>
        <w:t>out</w:t>
      </w:r>
      <w:r>
        <w:rPr>
          <w:rFonts w:hint="eastAsia" w:ascii="宋体"/>
          <w:color w:val="auto"/>
          <w:kern w:val="0"/>
          <w:szCs w:val="20"/>
          <w:highlight w:val="none"/>
        </w:rPr>
        <w:t>——从厌氧处理系统出口排出的污水平均化学需氧量浓度，单位为千克化学需氧量每立方米（kgCOD/m</w:t>
      </w:r>
      <w:r>
        <w:rPr>
          <w:rFonts w:hint="eastAsia" w:ascii="宋体"/>
          <w:color w:val="auto"/>
          <w:kern w:val="0"/>
          <w:szCs w:val="20"/>
          <w:highlight w:val="none"/>
          <w:vertAlign w:val="superscript"/>
        </w:rPr>
        <w:t>3</w:t>
      </w:r>
      <w:r>
        <w:rPr>
          <w:rFonts w:hint="eastAsia" w:ascii="宋体"/>
          <w:color w:val="auto"/>
          <w:kern w:val="0"/>
          <w:szCs w:val="20"/>
          <w:highlight w:val="none"/>
        </w:rPr>
        <w:t>）。</w:t>
      </w:r>
      <w:bookmarkEnd w:id="160"/>
    </w:p>
    <w:p>
      <w:pPr>
        <w:adjustRightInd w:val="0"/>
        <w:snapToGrid w:val="0"/>
        <w:ind w:firstLine="420" w:firstLineChars="200"/>
        <w:rPr>
          <w:rFonts w:hint="eastAsia" w:ascii="宋体"/>
          <w:color w:val="auto"/>
          <w:kern w:val="0"/>
          <w:szCs w:val="20"/>
          <w:highlight w:val="none"/>
        </w:rPr>
      </w:pPr>
      <w:r>
        <w:rPr>
          <w:rFonts w:hint="eastAsia" w:ascii="宋体"/>
          <w:color w:val="auto"/>
          <w:kern w:val="0"/>
          <w:szCs w:val="20"/>
          <w:highlight w:val="none"/>
        </w:rPr>
        <w:t>注：若企业有污水处理系统去除的COD统计，可直接作为TOW的值。</w:t>
      </w:r>
    </w:p>
    <w:p>
      <w:pPr>
        <w:adjustRightInd w:val="0"/>
        <w:snapToGrid w:val="0"/>
        <w:ind w:firstLine="420" w:firstLineChars="200"/>
        <w:rPr>
          <w:rFonts w:hint="eastAsia" w:ascii="宋体"/>
          <w:color w:val="auto"/>
          <w:kern w:val="0"/>
          <w:szCs w:val="20"/>
          <w:highlight w:val="none"/>
        </w:rPr>
      </w:pPr>
    </w:p>
    <w:p>
      <w:pPr>
        <w:wordWrap w:val="0"/>
        <w:adjustRightInd w:val="0"/>
        <w:snapToGrid w:val="0"/>
        <w:ind w:firstLine="420" w:firstLineChars="200"/>
        <w:jc w:val="right"/>
        <w:rPr>
          <w:rFonts w:ascii="宋体"/>
          <w:color w:val="auto"/>
          <w:kern w:val="0"/>
          <w:szCs w:val="20"/>
          <w:highlight w:val="none"/>
        </w:rPr>
      </w:pPr>
      <w:r>
        <w:rPr>
          <w:rFonts w:hint="eastAsia" w:ascii="宋体"/>
          <w:color w:val="auto"/>
          <w:kern w:val="0"/>
          <w:position w:val="-16"/>
          <w:szCs w:val="20"/>
          <w:highlight w:val="none"/>
        </w:rPr>
        <w:object>
          <v:shape id="_x0000_i1038" o:spt="75" type="#_x0000_t75" style="height:20.05pt;width:112.7pt;" o:ole="t" filled="f" o:preferrelative="t" stroked="f" coordsize="21600,21600">
            <v:path/>
            <v:fill on="f" focussize="0,0"/>
            <v:stroke on="f" joinstyle="miter"/>
            <v:imagedata r:id="rId50" o:title=""/>
            <o:lock v:ext="edit" aspectratio="t"/>
            <w10:wrap type="none"/>
            <w10:anchorlock/>
          </v:shape>
          <o:OLEObject Type="Embed" ProgID="Equation.3" ShapeID="_x0000_i1038" DrawAspect="Content" ObjectID="_1468075738" r:id="rId49">
            <o:LockedField>false</o:LockedField>
          </o:OLEObject>
        </w:object>
      </w:r>
      <w:r>
        <w:rPr>
          <w:rFonts w:hint="eastAsia" w:ascii="宋体"/>
          <w:color w:val="auto"/>
          <w:kern w:val="0"/>
          <w:szCs w:val="20"/>
          <w:highlight w:val="none"/>
        </w:rPr>
        <w:t xml:space="preserve">                                  （</w:t>
      </w:r>
      <w:r>
        <w:rPr>
          <w:rFonts w:hint="eastAsia" w:ascii="宋体"/>
          <w:color w:val="auto"/>
          <w:kern w:val="0"/>
          <w:szCs w:val="20"/>
          <w:highlight w:val="none"/>
          <w:lang w:val="en-US" w:eastAsia="zh-CN"/>
        </w:rPr>
        <w:t>D.3</w:t>
      </w:r>
      <w:r>
        <w:rPr>
          <w:rFonts w:hint="eastAsia" w:ascii="宋体"/>
          <w:color w:val="auto"/>
          <w:kern w:val="0"/>
          <w:szCs w:val="20"/>
          <w:highlight w:val="none"/>
        </w:rPr>
        <w:t>）</w:t>
      </w:r>
      <w:bookmarkStart w:id="161" w:name="pindex370"/>
      <w:bookmarkEnd w:id="161"/>
    </w:p>
    <w:p>
      <w:pPr>
        <w:adjustRightInd w:val="0"/>
        <w:snapToGrid w:val="0"/>
        <w:ind w:firstLine="420" w:firstLineChars="200"/>
        <w:rPr>
          <w:rFonts w:ascii="宋体"/>
          <w:color w:val="auto"/>
          <w:kern w:val="0"/>
          <w:szCs w:val="20"/>
          <w:highlight w:val="none"/>
        </w:rPr>
      </w:pPr>
      <w:r>
        <w:rPr>
          <w:rFonts w:hint="eastAsia" w:ascii="宋体"/>
          <w:color w:val="auto"/>
          <w:kern w:val="0"/>
          <w:szCs w:val="20"/>
          <w:highlight w:val="none"/>
        </w:rPr>
        <w:t>B</w:t>
      </w:r>
      <w:r>
        <w:rPr>
          <w:rFonts w:hint="eastAsia" w:ascii="宋体"/>
          <w:color w:val="auto"/>
          <w:kern w:val="0"/>
          <w:szCs w:val="20"/>
          <w:highlight w:val="none"/>
          <w:vertAlign w:val="subscript"/>
        </w:rPr>
        <w:t>0</w:t>
      </w:r>
      <w:r>
        <w:rPr>
          <w:rFonts w:hint="eastAsia" w:ascii="宋体"/>
          <w:color w:val="auto"/>
          <w:kern w:val="0"/>
          <w:szCs w:val="20"/>
          <w:highlight w:val="none"/>
        </w:rPr>
        <w:t>——污水厌氧处理系统的甲烷最大产生能力，单位为千克甲烷每千克化学需氧量（kgCH</w:t>
      </w:r>
      <w:r>
        <w:rPr>
          <w:rFonts w:hint="eastAsia" w:ascii="宋体"/>
          <w:color w:val="auto"/>
          <w:kern w:val="0"/>
          <w:szCs w:val="20"/>
          <w:highlight w:val="none"/>
          <w:vertAlign w:val="subscript"/>
        </w:rPr>
        <w:t>4</w:t>
      </w:r>
      <w:r>
        <w:rPr>
          <w:rFonts w:hint="eastAsia" w:ascii="宋体"/>
          <w:color w:val="auto"/>
          <w:kern w:val="0"/>
          <w:szCs w:val="20"/>
          <w:highlight w:val="none"/>
        </w:rPr>
        <w:t>/kgCOD）；</w:t>
      </w:r>
    </w:p>
    <w:p>
      <w:pPr>
        <w:pStyle w:val="26"/>
        <w:rPr>
          <w:rFonts w:hint="eastAsia" w:ascii="宋体"/>
          <w:color w:val="auto"/>
          <w:kern w:val="0"/>
          <w:szCs w:val="20"/>
          <w:highlight w:val="none"/>
        </w:rPr>
      </w:pPr>
      <w:r>
        <w:rPr>
          <w:rFonts w:hint="eastAsia" w:ascii="宋体"/>
          <w:color w:val="auto"/>
          <w:kern w:val="0"/>
          <w:szCs w:val="20"/>
          <w:highlight w:val="none"/>
        </w:rPr>
        <w:t>MCF——甲烷修正因子，表示不同处理系统或排放途径达到甲烷最大产生能力（B</w:t>
      </w:r>
      <w:r>
        <w:rPr>
          <w:rFonts w:hint="eastAsia" w:ascii="宋体"/>
          <w:color w:val="auto"/>
          <w:kern w:val="0"/>
          <w:szCs w:val="20"/>
          <w:highlight w:val="none"/>
          <w:vertAlign w:val="subscript"/>
        </w:rPr>
        <w:t>0</w:t>
      </w:r>
      <w:r>
        <w:rPr>
          <w:rFonts w:hint="eastAsia" w:ascii="宋体"/>
          <w:color w:val="auto"/>
          <w:kern w:val="0"/>
          <w:szCs w:val="20"/>
          <w:highlight w:val="none"/>
        </w:rPr>
        <w:t>）的程度，也反映了处理系统的厌氧程度。完全厌氧取值为1，完全好氧取值为0。</w:t>
      </w:r>
    </w:p>
    <w:p>
      <w:pPr>
        <w:pStyle w:val="26"/>
        <w:rPr>
          <w:rFonts w:hint="eastAsia" w:ascii="宋体"/>
          <w:color w:val="auto"/>
          <w:kern w:val="0"/>
          <w:szCs w:val="20"/>
          <w:highlight w:val="none"/>
        </w:rPr>
      </w:pPr>
    </w:p>
    <w:p>
      <w:pPr>
        <w:wordWrap w:val="0"/>
        <w:adjustRightInd w:val="0"/>
        <w:snapToGrid w:val="0"/>
        <w:ind w:firstLine="420" w:firstLineChars="200"/>
        <w:jc w:val="right"/>
        <w:rPr>
          <w:rFonts w:ascii="宋体"/>
          <w:color w:val="auto"/>
          <w:kern w:val="0"/>
          <w:szCs w:val="20"/>
        </w:rPr>
      </w:pPr>
      <w:r>
        <w:rPr>
          <w:rFonts w:hint="eastAsia" w:ascii="宋体"/>
          <w:color w:val="auto"/>
          <w:kern w:val="0"/>
          <w:position w:val="-16"/>
          <w:szCs w:val="20"/>
        </w:rPr>
        <w:object>
          <v:shape id="_x0000_i1039" o:spt="75" type="#_x0000_t75" style="height:20.05pt;width:197.85pt;" o:ole="t" filled="f" o:preferrelative="t" stroked="f" coordsize="21600,21600">
            <v:path/>
            <v:fill on="f" focussize="0,0"/>
            <v:stroke on="f" joinstyle="miter"/>
            <v:imagedata r:id="rId52" o:title=""/>
            <o:lock v:ext="edit" aspectratio="t"/>
            <w10:wrap type="none"/>
            <w10:anchorlock/>
          </v:shape>
          <o:OLEObject Type="Embed" ProgID="Equation.3" ShapeID="_x0000_i1039" DrawAspect="Content" ObjectID="_1468075739" r:id="rId51">
            <o:LockedField>false</o:LockedField>
          </o:OLEObject>
        </w:object>
      </w:r>
      <w:r>
        <w:rPr>
          <w:rFonts w:hint="eastAsia" w:ascii="宋体"/>
          <w:color w:val="auto"/>
          <w:kern w:val="0"/>
          <w:szCs w:val="20"/>
        </w:rPr>
        <w:t xml:space="preserve">                      （</w:t>
      </w:r>
      <w:r>
        <w:rPr>
          <w:rFonts w:hint="eastAsia" w:ascii="宋体"/>
          <w:color w:val="auto"/>
          <w:kern w:val="0"/>
          <w:szCs w:val="20"/>
          <w:lang w:val="en-US" w:eastAsia="zh-CN"/>
        </w:rPr>
        <w:t>D.4</w:t>
      </w:r>
      <w:r>
        <w:rPr>
          <w:rFonts w:hint="eastAsia" w:ascii="宋体"/>
          <w:color w:val="auto"/>
          <w:kern w:val="0"/>
          <w:szCs w:val="20"/>
        </w:rPr>
        <w:t>）</w:t>
      </w:r>
      <w:bookmarkStart w:id="162" w:name="pindex394"/>
      <w:bookmarkEnd w:id="162"/>
    </w:p>
    <w:p>
      <w:pPr>
        <w:adjustRightInd w:val="0"/>
        <w:snapToGrid w:val="0"/>
        <w:ind w:firstLine="420" w:firstLineChars="200"/>
        <w:rPr>
          <w:rFonts w:ascii="宋体" w:hAnsi="宋体" w:cs="宋体"/>
          <w:color w:val="auto"/>
          <w:kern w:val="0"/>
          <w:szCs w:val="20"/>
        </w:rPr>
      </w:pPr>
      <w:r>
        <w:rPr>
          <w:rFonts w:hint="eastAsia" w:ascii="宋体" w:hAnsi="宋体" w:cs="宋体"/>
          <w:color w:val="auto"/>
          <w:kern w:val="0"/>
          <w:szCs w:val="20"/>
        </w:rPr>
        <w:t>式中：</w:t>
      </w:r>
    </w:p>
    <w:p>
      <w:pPr>
        <w:adjustRightInd w:val="0"/>
        <w:snapToGrid w:val="0"/>
        <w:ind w:firstLine="420" w:firstLineChars="200"/>
        <w:rPr>
          <w:rFonts w:ascii="宋体" w:hAnsi="宋体" w:cs="宋体"/>
          <w:color w:val="auto"/>
          <w:kern w:val="0"/>
          <w:szCs w:val="20"/>
        </w:rPr>
      </w:pPr>
      <w:r>
        <w:rPr>
          <w:rFonts w:hint="eastAsia" w:ascii="宋体" w:hAnsi="宋体" w:cs="宋体"/>
          <w:color w:val="auto"/>
          <w:kern w:val="0"/>
          <w:szCs w:val="20"/>
        </w:rPr>
        <w:t>η</w:t>
      </w:r>
      <w:r>
        <w:rPr>
          <w:rFonts w:hint="eastAsia" w:ascii="宋体" w:hAnsi="宋体" w:cs="宋体"/>
          <w:color w:val="auto"/>
          <w:kern w:val="0"/>
          <w:szCs w:val="20"/>
          <w:vertAlign w:val="subscript"/>
        </w:rPr>
        <w:t>自用</w:t>
      </w:r>
      <w:r>
        <w:rPr>
          <w:rFonts w:hint="eastAsia" w:ascii="宋体" w:hAnsi="宋体" w:cs="宋体"/>
          <w:color w:val="auto"/>
          <w:kern w:val="0"/>
          <w:szCs w:val="20"/>
        </w:rPr>
        <w:t>——甲烷在现场自用过程中的氧化系数，以%表示；</w:t>
      </w:r>
    </w:p>
    <w:p>
      <w:pPr>
        <w:adjustRightInd w:val="0"/>
        <w:snapToGrid w:val="0"/>
        <w:ind w:firstLine="420" w:firstLineChars="200"/>
        <w:rPr>
          <w:rFonts w:ascii="宋体"/>
          <w:color w:val="auto"/>
          <w:kern w:val="0"/>
          <w:szCs w:val="20"/>
        </w:rPr>
      </w:pPr>
      <w:r>
        <w:rPr>
          <w:rFonts w:hint="eastAsia" w:ascii="宋体"/>
          <w:color w:val="auto"/>
          <w:kern w:val="0"/>
          <w:szCs w:val="20"/>
        </w:rPr>
        <w:t>Q</w:t>
      </w:r>
      <w:r>
        <w:rPr>
          <w:rFonts w:hint="eastAsia" w:ascii="宋体"/>
          <w:color w:val="auto"/>
          <w:kern w:val="0"/>
          <w:szCs w:val="20"/>
          <w:vertAlign w:val="subscript"/>
        </w:rPr>
        <w:t>自用</w:t>
      </w:r>
      <w:r>
        <w:rPr>
          <w:rFonts w:hint="eastAsia" w:ascii="宋体"/>
          <w:color w:val="auto"/>
          <w:kern w:val="0"/>
          <w:szCs w:val="20"/>
        </w:rPr>
        <w:t>——报告主体回收自用的CH</w:t>
      </w:r>
      <w:r>
        <w:rPr>
          <w:rFonts w:hint="eastAsia" w:ascii="宋体"/>
          <w:color w:val="auto"/>
          <w:kern w:val="0"/>
          <w:szCs w:val="20"/>
          <w:vertAlign w:val="subscript"/>
        </w:rPr>
        <w:t>4</w:t>
      </w:r>
      <w:r>
        <w:rPr>
          <w:rFonts w:hint="eastAsia" w:ascii="宋体"/>
          <w:color w:val="auto"/>
          <w:kern w:val="0"/>
          <w:szCs w:val="20"/>
        </w:rPr>
        <w:t>气体体积，单位为标立方米（Nm</w:t>
      </w:r>
      <w:r>
        <w:rPr>
          <w:rFonts w:hint="eastAsia" w:ascii="宋体"/>
          <w:color w:val="auto"/>
          <w:kern w:val="0"/>
          <w:szCs w:val="20"/>
          <w:vertAlign w:val="superscript"/>
        </w:rPr>
        <w:t>3</w:t>
      </w:r>
      <w:r>
        <w:rPr>
          <w:rFonts w:hint="eastAsia" w:ascii="宋体"/>
          <w:color w:val="auto"/>
          <w:kern w:val="0"/>
          <w:szCs w:val="20"/>
        </w:rPr>
        <w:t>）；</w:t>
      </w:r>
    </w:p>
    <w:p>
      <w:pPr>
        <w:adjustRightInd w:val="0"/>
        <w:snapToGrid w:val="0"/>
        <w:ind w:firstLine="420" w:firstLineChars="200"/>
        <w:rPr>
          <w:rFonts w:ascii="宋体"/>
          <w:color w:val="auto"/>
          <w:kern w:val="0"/>
          <w:szCs w:val="20"/>
        </w:rPr>
      </w:pPr>
      <w:r>
        <w:rPr>
          <w:rFonts w:hint="eastAsia" w:ascii="宋体"/>
          <w:color w:val="auto"/>
          <w:kern w:val="0"/>
          <w:position w:val="-16"/>
          <w:szCs w:val="20"/>
        </w:rPr>
        <w:object>
          <v:shape id="_x0000_i1040" o:spt="75" type="#_x0000_t75" style="height:20.05pt;width:55.1pt;" o:ole="t" filled="f" o:preferrelative="t" stroked="f" coordsize="21600,21600">
            <v:path/>
            <v:fill on="f" focussize="0,0"/>
            <v:stroke on="f" joinstyle="miter"/>
            <v:imagedata r:id="rId54" o:title=""/>
            <o:lock v:ext="edit" aspectratio="t"/>
            <w10:wrap type="none"/>
            <w10:anchorlock/>
          </v:shape>
          <o:OLEObject Type="Embed" ProgID="Equation.3" ShapeID="_x0000_i1040" DrawAspect="Content" ObjectID="_1468075740" r:id="rId53">
            <o:LockedField>false</o:LockedField>
          </o:OLEObject>
        </w:object>
      </w:r>
      <w:r>
        <w:rPr>
          <w:rFonts w:hint="eastAsia" w:ascii="宋体"/>
          <w:color w:val="auto"/>
          <w:kern w:val="0"/>
          <w:szCs w:val="20"/>
        </w:rPr>
        <w:t>——回收自用的CH</w:t>
      </w:r>
      <w:r>
        <w:rPr>
          <w:rFonts w:hint="eastAsia" w:ascii="宋体"/>
          <w:color w:val="auto"/>
          <w:kern w:val="0"/>
          <w:szCs w:val="20"/>
          <w:vertAlign w:val="subscript"/>
        </w:rPr>
        <w:t>4</w:t>
      </w:r>
      <w:r>
        <w:rPr>
          <w:rFonts w:hint="eastAsia" w:ascii="宋体"/>
          <w:color w:val="auto"/>
          <w:kern w:val="0"/>
          <w:szCs w:val="20"/>
        </w:rPr>
        <w:t>气体平均体积浓度；</w:t>
      </w:r>
    </w:p>
    <w:p>
      <w:pPr>
        <w:adjustRightInd w:val="0"/>
        <w:snapToGrid w:val="0"/>
        <w:ind w:firstLine="420" w:firstLineChars="200"/>
        <w:rPr>
          <w:rFonts w:ascii="宋体"/>
          <w:color w:val="auto"/>
          <w:kern w:val="0"/>
          <w:szCs w:val="20"/>
        </w:rPr>
      </w:pPr>
      <w:r>
        <w:rPr>
          <w:rFonts w:hint="eastAsia" w:ascii="宋体"/>
          <w:color w:val="auto"/>
          <w:kern w:val="0"/>
          <w:szCs w:val="20"/>
        </w:rPr>
        <w:t>7.17——CH</w:t>
      </w:r>
      <w:r>
        <w:rPr>
          <w:rFonts w:hint="eastAsia" w:ascii="宋体"/>
          <w:color w:val="auto"/>
          <w:kern w:val="0"/>
          <w:szCs w:val="20"/>
          <w:vertAlign w:val="subscript"/>
        </w:rPr>
        <w:t>4</w:t>
      </w:r>
      <w:r>
        <w:rPr>
          <w:rFonts w:hint="eastAsia" w:ascii="宋体"/>
          <w:color w:val="auto"/>
          <w:kern w:val="0"/>
          <w:szCs w:val="20"/>
        </w:rPr>
        <w:t>气体在标准状况下的密度，单位为吨甲烷每万标立方米（tCH</w:t>
      </w:r>
      <w:r>
        <w:rPr>
          <w:rFonts w:hint="eastAsia" w:ascii="宋体"/>
          <w:color w:val="auto"/>
          <w:kern w:val="0"/>
          <w:szCs w:val="20"/>
          <w:vertAlign w:val="subscript"/>
        </w:rPr>
        <w:t>4</w:t>
      </w:r>
      <w:r>
        <w:rPr>
          <w:rFonts w:hint="eastAsia" w:ascii="宋体"/>
          <w:color w:val="auto"/>
          <w:kern w:val="0"/>
          <w:szCs w:val="20"/>
        </w:rPr>
        <w:t>/</w:t>
      </w:r>
      <w:r>
        <w:rPr>
          <w:rFonts w:hint="eastAsia"/>
          <w:color w:val="auto"/>
          <w:szCs w:val="18"/>
        </w:rPr>
        <w:t>10</w:t>
      </w:r>
      <w:r>
        <w:rPr>
          <w:rFonts w:hint="eastAsia"/>
          <w:color w:val="auto"/>
          <w:szCs w:val="18"/>
          <w:vertAlign w:val="superscript"/>
        </w:rPr>
        <w:t>4</w:t>
      </w:r>
      <w:r>
        <w:rPr>
          <w:rFonts w:hint="eastAsia"/>
          <w:color w:val="auto"/>
          <w:szCs w:val="18"/>
        </w:rPr>
        <w:t>Nm</w:t>
      </w:r>
      <w:r>
        <w:rPr>
          <w:rFonts w:hint="eastAsia"/>
          <w:color w:val="auto"/>
          <w:szCs w:val="18"/>
          <w:vertAlign w:val="superscript"/>
        </w:rPr>
        <w:t>3</w:t>
      </w:r>
      <w:r>
        <w:rPr>
          <w:rFonts w:hint="eastAsia" w:ascii="宋体"/>
          <w:color w:val="auto"/>
          <w:kern w:val="0"/>
          <w:szCs w:val="20"/>
        </w:rPr>
        <w:t>）</w:t>
      </w:r>
      <w:r>
        <w:rPr>
          <w:rFonts w:hint="eastAsia"/>
          <w:color w:val="auto"/>
          <w:szCs w:val="18"/>
        </w:rPr>
        <w:t>。</w:t>
      </w:r>
    </w:p>
    <w:p>
      <w:pPr>
        <w:wordWrap w:val="0"/>
        <w:adjustRightInd w:val="0"/>
        <w:snapToGrid w:val="0"/>
        <w:ind w:firstLine="420" w:firstLineChars="200"/>
        <w:jc w:val="right"/>
        <w:rPr>
          <w:rFonts w:hint="eastAsia" w:ascii="宋体"/>
          <w:color w:val="auto"/>
          <w:kern w:val="0"/>
          <w:position w:val="-16"/>
          <w:szCs w:val="20"/>
        </w:rPr>
      </w:pPr>
    </w:p>
    <w:p>
      <w:pPr>
        <w:wordWrap w:val="0"/>
        <w:adjustRightInd w:val="0"/>
        <w:snapToGrid w:val="0"/>
        <w:ind w:firstLine="420" w:firstLineChars="200"/>
        <w:jc w:val="right"/>
        <w:rPr>
          <w:rFonts w:ascii="宋体"/>
          <w:color w:val="auto"/>
          <w:kern w:val="0"/>
          <w:szCs w:val="20"/>
        </w:rPr>
      </w:pPr>
      <w:r>
        <w:rPr>
          <w:rFonts w:hint="eastAsia" w:ascii="宋体"/>
          <w:color w:val="auto"/>
          <w:kern w:val="0"/>
          <w:position w:val="-16"/>
          <w:szCs w:val="20"/>
        </w:rPr>
        <w:object>
          <v:shape id="_x0000_i1041" o:spt="75" type="#_x0000_t75" style="height:20.05pt;width:170.3pt;" o:ole="t" filled="f" o:preferrelative="t" stroked="f" coordsize="21600,21600">
            <v:path/>
            <v:fill on="f" focussize="0,0"/>
            <v:stroke on="f" joinstyle="miter"/>
            <v:imagedata r:id="rId56" o:title=""/>
            <o:lock v:ext="edit" aspectratio="t"/>
            <w10:wrap type="none"/>
            <w10:anchorlock/>
          </v:shape>
          <o:OLEObject Type="Embed" ProgID="Equation.3" ShapeID="_x0000_i1041" DrawAspect="Content" ObjectID="_1468075741" r:id="rId55">
            <o:LockedField>false</o:LockedField>
          </o:OLEObject>
        </w:object>
      </w:r>
      <w:r>
        <w:rPr>
          <w:rFonts w:hint="eastAsia" w:ascii="宋体"/>
          <w:color w:val="auto"/>
          <w:kern w:val="0"/>
          <w:szCs w:val="20"/>
        </w:rPr>
        <w:t xml:space="preserve">                        （</w:t>
      </w:r>
      <w:r>
        <w:rPr>
          <w:rFonts w:hint="eastAsia" w:ascii="宋体"/>
          <w:color w:val="auto"/>
          <w:kern w:val="0"/>
          <w:szCs w:val="20"/>
          <w:lang w:val="en-US" w:eastAsia="zh-CN"/>
        </w:rPr>
        <w:t>D.5</w:t>
      </w:r>
      <w:r>
        <w:rPr>
          <w:rFonts w:hint="eastAsia" w:ascii="宋体"/>
          <w:color w:val="auto"/>
          <w:kern w:val="0"/>
          <w:szCs w:val="20"/>
        </w:rPr>
        <w:t>）</w:t>
      </w:r>
      <w:bookmarkStart w:id="163" w:name="pindex401"/>
      <w:bookmarkEnd w:id="163"/>
    </w:p>
    <w:p>
      <w:pPr>
        <w:adjustRightInd w:val="0"/>
        <w:snapToGrid w:val="0"/>
        <w:ind w:firstLine="420" w:firstLineChars="200"/>
        <w:rPr>
          <w:rFonts w:ascii="宋体" w:hAnsi="宋体" w:cs="宋体"/>
          <w:color w:val="auto"/>
          <w:kern w:val="0"/>
          <w:szCs w:val="20"/>
        </w:rPr>
      </w:pPr>
      <w:r>
        <w:rPr>
          <w:rFonts w:hint="eastAsia" w:ascii="宋体" w:hAnsi="宋体" w:cs="宋体"/>
          <w:color w:val="auto"/>
          <w:kern w:val="0"/>
          <w:szCs w:val="20"/>
        </w:rPr>
        <w:t>式中：</w:t>
      </w:r>
    </w:p>
    <w:p>
      <w:pPr>
        <w:adjustRightInd w:val="0"/>
        <w:snapToGrid w:val="0"/>
        <w:ind w:firstLine="420" w:firstLineChars="200"/>
        <w:rPr>
          <w:rFonts w:ascii="宋体"/>
          <w:color w:val="auto"/>
          <w:kern w:val="0"/>
          <w:szCs w:val="20"/>
        </w:rPr>
      </w:pPr>
      <w:r>
        <w:rPr>
          <w:rFonts w:hint="eastAsia" w:ascii="宋体"/>
          <w:color w:val="auto"/>
          <w:kern w:val="0"/>
          <w:szCs w:val="20"/>
        </w:rPr>
        <w:t>Q</w:t>
      </w:r>
      <w:r>
        <w:rPr>
          <w:rFonts w:hint="eastAsia" w:ascii="宋体"/>
          <w:color w:val="auto"/>
          <w:kern w:val="0"/>
          <w:szCs w:val="20"/>
          <w:vertAlign w:val="subscript"/>
        </w:rPr>
        <w:t>外供</w:t>
      </w:r>
      <w:r>
        <w:rPr>
          <w:rFonts w:hint="eastAsia" w:ascii="宋体"/>
          <w:color w:val="auto"/>
          <w:kern w:val="0"/>
          <w:szCs w:val="20"/>
        </w:rPr>
        <w:t>——报告主体外供第三方的CH</w:t>
      </w:r>
      <w:r>
        <w:rPr>
          <w:rFonts w:hint="eastAsia" w:ascii="宋体"/>
          <w:color w:val="auto"/>
          <w:kern w:val="0"/>
          <w:szCs w:val="20"/>
          <w:vertAlign w:val="subscript"/>
        </w:rPr>
        <w:t>4</w:t>
      </w:r>
      <w:r>
        <w:rPr>
          <w:rFonts w:hint="eastAsia" w:ascii="宋体"/>
          <w:color w:val="auto"/>
          <w:kern w:val="0"/>
          <w:szCs w:val="20"/>
        </w:rPr>
        <w:t>气体体积，单位为标立方米（Nm</w:t>
      </w:r>
      <w:r>
        <w:rPr>
          <w:rFonts w:hint="eastAsia" w:ascii="宋体"/>
          <w:color w:val="auto"/>
          <w:kern w:val="0"/>
          <w:szCs w:val="20"/>
          <w:vertAlign w:val="superscript"/>
        </w:rPr>
        <w:t>3</w:t>
      </w:r>
      <w:r>
        <w:rPr>
          <w:rFonts w:hint="eastAsia" w:ascii="宋体"/>
          <w:color w:val="auto"/>
          <w:kern w:val="0"/>
          <w:szCs w:val="20"/>
        </w:rPr>
        <w:t>）；</w:t>
      </w:r>
    </w:p>
    <w:p>
      <w:pPr>
        <w:adjustRightInd w:val="0"/>
        <w:snapToGrid w:val="0"/>
        <w:ind w:firstLine="420" w:firstLineChars="200"/>
        <w:rPr>
          <w:rFonts w:ascii="宋体"/>
          <w:color w:val="auto"/>
          <w:kern w:val="0"/>
          <w:szCs w:val="20"/>
        </w:rPr>
      </w:pPr>
      <w:r>
        <w:rPr>
          <w:rFonts w:hint="eastAsia" w:ascii="宋体"/>
          <w:color w:val="auto"/>
          <w:kern w:val="0"/>
          <w:position w:val="-16"/>
          <w:szCs w:val="20"/>
        </w:rPr>
        <w:object>
          <v:shape id="_x0000_i1042" o:spt="75" type="#_x0000_t75" style="height:20.05pt;width:55.1pt;" o:ole="t" filled="f" o:preferrelative="t" stroked="f" coordsize="21600,21600">
            <v:path/>
            <v:fill on="f" focussize="0,0"/>
            <v:stroke on="f" joinstyle="miter"/>
            <v:imagedata r:id="rId58" o:title=""/>
            <o:lock v:ext="edit" aspectratio="t"/>
            <w10:wrap type="none"/>
            <w10:anchorlock/>
          </v:shape>
          <o:OLEObject Type="Embed" ProgID="Equation.3" ShapeID="_x0000_i1042" DrawAspect="Content" ObjectID="_1468075742" r:id="rId57">
            <o:LockedField>false</o:LockedField>
          </o:OLEObject>
        </w:object>
      </w:r>
      <w:r>
        <w:rPr>
          <w:rFonts w:hint="eastAsia" w:ascii="宋体"/>
          <w:color w:val="auto"/>
          <w:kern w:val="0"/>
          <w:szCs w:val="20"/>
        </w:rPr>
        <w:t>——回收外供的CH</w:t>
      </w:r>
      <w:r>
        <w:rPr>
          <w:rFonts w:hint="eastAsia" w:ascii="宋体"/>
          <w:color w:val="auto"/>
          <w:kern w:val="0"/>
          <w:szCs w:val="20"/>
          <w:vertAlign w:val="subscript"/>
        </w:rPr>
        <w:t>4</w:t>
      </w:r>
      <w:r>
        <w:rPr>
          <w:rFonts w:hint="eastAsia" w:ascii="宋体"/>
          <w:color w:val="auto"/>
          <w:kern w:val="0"/>
          <w:szCs w:val="20"/>
        </w:rPr>
        <w:t>气体平均体积浓度。</w:t>
      </w:r>
    </w:p>
    <w:p>
      <w:pPr>
        <w:wordWrap w:val="0"/>
        <w:adjustRightInd w:val="0"/>
        <w:snapToGrid w:val="0"/>
        <w:ind w:firstLine="420" w:firstLineChars="200"/>
        <w:jc w:val="right"/>
        <w:rPr>
          <w:rFonts w:hint="eastAsia" w:ascii="宋体"/>
          <w:color w:val="auto"/>
          <w:kern w:val="0"/>
          <w:position w:val="-28"/>
          <w:szCs w:val="20"/>
        </w:rPr>
      </w:pPr>
    </w:p>
    <w:p>
      <w:pPr>
        <w:wordWrap w:val="0"/>
        <w:adjustRightInd w:val="0"/>
        <w:snapToGrid w:val="0"/>
        <w:ind w:firstLine="420" w:firstLineChars="200"/>
        <w:jc w:val="right"/>
        <w:rPr>
          <w:rFonts w:ascii="宋体"/>
          <w:color w:val="auto"/>
          <w:kern w:val="0"/>
          <w:szCs w:val="20"/>
        </w:rPr>
      </w:pPr>
      <w:r>
        <w:rPr>
          <w:rFonts w:hint="eastAsia" w:ascii="宋体"/>
          <w:color w:val="auto"/>
          <w:kern w:val="0"/>
          <w:position w:val="-28"/>
          <w:szCs w:val="20"/>
        </w:rPr>
        <w:object>
          <v:shape id="_x0000_i1043" o:spt="75" type="#_x0000_t75" style="height:33.8pt;width:200.95pt;" o:ole="t" filled="f" o:preferrelative="t" stroked="f" coordsize="21600,21600">
            <v:path/>
            <v:fill on="f" focussize="0,0"/>
            <v:stroke on="f" joinstyle="miter"/>
            <v:imagedata r:id="rId60" o:title=""/>
            <o:lock v:ext="edit" aspectratio="t"/>
            <w10:wrap type="none"/>
            <w10:anchorlock/>
          </v:shape>
          <o:OLEObject Type="Embed" ProgID="Equation.3" ShapeID="_x0000_i1043" DrawAspect="Content" ObjectID="_1468075743" r:id="rId59">
            <o:LockedField>false</o:LockedField>
          </o:OLEObject>
        </w:object>
      </w:r>
      <w:r>
        <w:rPr>
          <w:rFonts w:hint="eastAsia" w:ascii="宋体"/>
          <w:color w:val="auto"/>
          <w:kern w:val="0"/>
          <w:szCs w:val="20"/>
        </w:rPr>
        <w:t xml:space="preserve">                     （</w:t>
      </w:r>
      <w:r>
        <w:rPr>
          <w:rFonts w:hint="eastAsia" w:ascii="宋体"/>
          <w:color w:val="auto"/>
          <w:kern w:val="0"/>
          <w:szCs w:val="20"/>
          <w:lang w:val="en-US" w:eastAsia="zh-CN"/>
        </w:rPr>
        <w:t>D.6</w:t>
      </w:r>
      <w:r>
        <w:rPr>
          <w:rFonts w:hint="eastAsia" w:ascii="宋体"/>
          <w:color w:val="auto"/>
          <w:kern w:val="0"/>
          <w:szCs w:val="20"/>
        </w:rPr>
        <w:t>）</w:t>
      </w:r>
      <w:bookmarkStart w:id="164" w:name="pindex406"/>
      <w:bookmarkEnd w:id="164"/>
    </w:p>
    <w:p>
      <w:pPr>
        <w:adjustRightInd w:val="0"/>
        <w:snapToGrid w:val="0"/>
        <w:ind w:firstLine="420" w:firstLineChars="200"/>
        <w:rPr>
          <w:rFonts w:ascii="宋体" w:hAnsi="宋体" w:cs="宋体"/>
          <w:color w:val="auto"/>
          <w:kern w:val="0"/>
          <w:szCs w:val="20"/>
        </w:rPr>
      </w:pPr>
      <w:r>
        <w:rPr>
          <w:rFonts w:hint="eastAsia" w:ascii="宋体" w:hAnsi="宋体" w:cs="宋体"/>
          <w:color w:val="auto"/>
          <w:kern w:val="0"/>
          <w:szCs w:val="20"/>
        </w:rPr>
        <w:t>式中：</w:t>
      </w:r>
    </w:p>
    <w:p>
      <w:pPr>
        <w:adjustRightInd w:val="0"/>
        <w:snapToGrid w:val="0"/>
        <w:ind w:firstLine="420" w:firstLineChars="200"/>
        <w:rPr>
          <w:rFonts w:hint="default" w:ascii="Times New Roman" w:hAnsi="Times New Roman" w:cs="Times New Roman"/>
          <w:color w:val="auto"/>
          <w:kern w:val="0"/>
          <w:szCs w:val="20"/>
        </w:rPr>
      </w:pPr>
      <w:r>
        <w:rPr>
          <w:rFonts w:hint="default" w:ascii="Times New Roman" w:hAnsi="Times New Roman" w:cs="Times New Roman"/>
          <w:color w:val="auto"/>
          <w:kern w:val="0"/>
          <w:position w:val="-10"/>
          <w:szCs w:val="20"/>
        </w:rPr>
        <w:object>
          <v:shape id="_x0000_i1044" o:spt="75" type="#_x0000_t75" style="height:18.8pt;width:10pt;" o:ole="t" filled="f" o:preferrelative="t" stroked="f" coordsize="21600,21600">
            <v:path/>
            <v:fill on="f" focussize="0,0"/>
            <v:stroke on="f" joinstyle="miter"/>
            <v:imagedata r:id="rId62" o:title=""/>
            <o:lock v:ext="edit" aspectratio="t"/>
            <w10:wrap type="none"/>
            <w10:anchorlock/>
          </v:shape>
          <o:OLEObject Type="Embed" ProgID="Equation.3" ShapeID="_x0000_i1044" DrawAspect="Content" ObjectID="_1468075744" r:id="rId61">
            <o:LockedField>false</o:LockedField>
          </o:OLEObject>
        </w:object>
      </w:r>
      <w:r>
        <w:rPr>
          <w:rFonts w:hint="default" w:ascii="Times New Roman" w:hAnsi="Times New Roman" w:cs="Times New Roman"/>
          <w:color w:val="auto"/>
          <w:kern w:val="0"/>
          <w:szCs w:val="20"/>
        </w:rPr>
        <w:t>——CH</w:t>
      </w:r>
      <w:r>
        <w:rPr>
          <w:rFonts w:hint="default" w:ascii="Times New Roman" w:hAnsi="Times New Roman" w:cs="Times New Roman"/>
          <w:color w:val="auto"/>
          <w:kern w:val="0"/>
          <w:szCs w:val="20"/>
          <w:vertAlign w:val="subscript"/>
        </w:rPr>
        <w:t>4</w:t>
      </w:r>
      <w:r>
        <w:rPr>
          <w:rFonts w:hint="default" w:ascii="Times New Roman" w:hAnsi="Times New Roman" w:cs="Times New Roman"/>
          <w:color w:val="auto"/>
          <w:kern w:val="0"/>
          <w:szCs w:val="20"/>
        </w:rPr>
        <w:t>火炬销毁装置的平均销毁效率，以%表示；</w:t>
      </w:r>
    </w:p>
    <w:p>
      <w:pPr>
        <w:adjustRightInd w:val="0"/>
        <w:snapToGrid w:val="0"/>
        <w:ind w:firstLine="420" w:firstLineChars="200"/>
        <w:rPr>
          <w:rFonts w:hint="default" w:ascii="Times New Roman" w:hAnsi="Times New Roman" w:cs="Times New Roman"/>
          <w:color w:val="auto"/>
          <w:kern w:val="0"/>
          <w:szCs w:val="20"/>
        </w:rPr>
      </w:pPr>
      <w:r>
        <w:rPr>
          <w:rFonts w:hint="default" w:ascii="Times New Roman" w:hAnsi="Times New Roman" w:cs="Times New Roman"/>
          <w:color w:val="auto"/>
          <w:kern w:val="0"/>
          <w:szCs w:val="20"/>
        </w:rPr>
        <w:t>H——火炬销毁装置运行时间，单位为小时（h）；</w:t>
      </w:r>
    </w:p>
    <w:p>
      <w:pPr>
        <w:adjustRightInd w:val="0"/>
        <w:snapToGrid w:val="0"/>
        <w:ind w:firstLine="420" w:firstLineChars="200"/>
        <w:rPr>
          <w:rFonts w:hint="default" w:ascii="Times New Roman" w:hAnsi="Times New Roman" w:cs="Times New Roman"/>
          <w:color w:val="auto"/>
          <w:kern w:val="0"/>
          <w:szCs w:val="20"/>
        </w:rPr>
      </w:pPr>
      <w:r>
        <w:rPr>
          <w:rFonts w:hint="default" w:ascii="Times New Roman" w:hAnsi="Times New Roman" w:cs="Times New Roman"/>
          <w:color w:val="auto"/>
          <w:kern w:val="0"/>
          <w:szCs w:val="20"/>
        </w:rPr>
        <w:t>h——火炬销毁装置运行时间序号；</w:t>
      </w:r>
    </w:p>
    <w:p>
      <w:pPr>
        <w:adjustRightInd w:val="0"/>
        <w:snapToGrid w:val="0"/>
        <w:ind w:firstLine="420" w:firstLineChars="200"/>
        <w:rPr>
          <w:rFonts w:hint="default" w:ascii="Times New Roman" w:hAnsi="Times New Roman" w:cs="Times New Roman"/>
          <w:color w:val="auto"/>
          <w:kern w:val="0"/>
          <w:szCs w:val="20"/>
        </w:rPr>
      </w:pPr>
      <w:r>
        <w:rPr>
          <w:rFonts w:hint="default" w:ascii="Times New Roman" w:hAnsi="Times New Roman" w:cs="Times New Roman"/>
          <w:color w:val="auto"/>
          <w:kern w:val="0"/>
          <w:szCs w:val="20"/>
        </w:rPr>
        <w:t>FR</w:t>
      </w:r>
      <w:r>
        <w:rPr>
          <w:rFonts w:hint="default" w:ascii="Times New Roman" w:hAnsi="Times New Roman" w:cs="Times New Roman"/>
          <w:color w:val="auto"/>
          <w:kern w:val="0"/>
          <w:szCs w:val="20"/>
          <w:vertAlign w:val="subscript"/>
        </w:rPr>
        <w:t>h</w:t>
      </w:r>
      <w:r>
        <w:rPr>
          <w:rFonts w:hint="default" w:ascii="Times New Roman" w:hAnsi="Times New Roman" w:cs="Times New Roman"/>
          <w:color w:val="auto"/>
          <w:kern w:val="0"/>
          <w:szCs w:val="20"/>
        </w:rPr>
        <w:t>——进入火炬销毁装置的CH</w:t>
      </w:r>
      <w:r>
        <w:rPr>
          <w:rFonts w:hint="default" w:ascii="Times New Roman" w:hAnsi="Times New Roman" w:cs="Times New Roman"/>
          <w:color w:val="auto"/>
          <w:kern w:val="0"/>
          <w:szCs w:val="20"/>
          <w:vertAlign w:val="subscript"/>
        </w:rPr>
        <w:t>4</w:t>
      </w:r>
      <w:r>
        <w:rPr>
          <w:rFonts w:hint="default" w:ascii="Times New Roman" w:hAnsi="Times New Roman" w:cs="Times New Roman"/>
          <w:color w:val="auto"/>
          <w:kern w:val="0"/>
          <w:szCs w:val="20"/>
        </w:rPr>
        <w:t>气流量，单位为标立方米每小时（Nm</w:t>
      </w:r>
      <w:r>
        <w:rPr>
          <w:rFonts w:hint="default" w:ascii="Times New Roman" w:hAnsi="Times New Roman" w:cs="Times New Roman"/>
          <w:color w:val="auto"/>
          <w:kern w:val="0"/>
          <w:szCs w:val="20"/>
          <w:vertAlign w:val="superscript"/>
        </w:rPr>
        <w:t>3</w:t>
      </w:r>
      <w:r>
        <w:rPr>
          <w:rFonts w:hint="default" w:ascii="Times New Roman" w:hAnsi="Times New Roman" w:cs="Times New Roman"/>
          <w:color w:val="auto"/>
          <w:kern w:val="0"/>
          <w:szCs w:val="20"/>
        </w:rPr>
        <w:t>/h）；</w:t>
      </w:r>
    </w:p>
    <w:p>
      <w:pPr>
        <w:adjustRightInd w:val="0"/>
        <w:snapToGrid w:val="0"/>
        <w:ind w:firstLine="420" w:firstLineChars="200"/>
        <w:rPr>
          <w:rFonts w:hint="default" w:ascii="Times New Roman" w:hAnsi="Times New Roman" w:cs="Times New Roman"/>
          <w:color w:val="auto"/>
          <w:kern w:val="0"/>
          <w:szCs w:val="20"/>
          <w:highlight w:val="none"/>
        </w:rPr>
      </w:pPr>
      <w:r>
        <w:rPr>
          <w:rFonts w:hint="default" w:ascii="Times New Roman" w:hAnsi="Times New Roman" w:cs="Times New Roman"/>
          <w:color w:val="auto"/>
          <w:kern w:val="0"/>
          <w:szCs w:val="20"/>
          <w:highlight w:val="none"/>
        </w:rPr>
        <w:t>V——进入火炬销毁装置的CH</w:t>
      </w:r>
      <w:r>
        <w:rPr>
          <w:rFonts w:hint="default" w:ascii="Times New Roman" w:hAnsi="Times New Roman" w:cs="Times New Roman"/>
          <w:color w:val="auto"/>
          <w:kern w:val="0"/>
          <w:szCs w:val="20"/>
          <w:highlight w:val="none"/>
          <w:vertAlign w:val="subscript"/>
        </w:rPr>
        <w:t>4</w:t>
      </w:r>
      <w:r>
        <w:rPr>
          <w:rFonts w:hint="default" w:ascii="Times New Roman" w:hAnsi="Times New Roman" w:cs="Times New Roman"/>
          <w:color w:val="auto"/>
          <w:kern w:val="0"/>
          <w:szCs w:val="20"/>
          <w:highlight w:val="none"/>
        </w:rPr>
        <w:t>气体小时平均体积浓度，以%表示；</w:t>
      </w:r>
    </w:p>
    <w:p>
      <w:pPr>
        <w:adjustRightInd w:val="0"/>
        <w:snapToGrid w:val="0"/>
        <w:ind w:firstLine="420" w:firstLineChars="200"/>
        <w:rPr>
          <w:rFonts w:hint="default" w:ascii="Times New Roman" w:hAnsi="Times New Roman" w:cs="Times New Roman"/>
          <w:color w:val="auto"/>
          <w:kern w:val="0"/>
          <w:szCs w:val="20"/>
        </w:rPr>
      </w:pPr>
      <w:r>
        <w:rPr>
          <w:rFonts w:hint="default" w:ascii="Times New Roman" w:hAnsi="Times New Roman" w:cs="Times New Roman"/>
          <w:color w:val="auto"/>
          <w:kern w:val="0"/>
          <w:szCs w:val="20"/>
        </w:rPr>
        <w:t>22.4——标准状况下理想气体摩尔体积，单位为标立方米每千摩尔（Nm</w:t>
      </w:r>
      <w:r>
        <w:rPr>
          <w:rFonts w:hint="default" w:ascii="Times New Roman" w:hAnsi="Times New Roman" w:cs="Times New Roman"/>
          <w:color w:val="auto"/>
          <w:kern w:val="0"/>
          <w:szCs w:val="20"/>
          <w:vertAlign w:val="superscript"/>
        </w:rPr>
        <w:t>3</w:t>
      </w:r>
      <w:r>
        <w:rPr>
          <w:rFonts w:hint="default" w:ascii="Times New Roman" w:hAnsi="Times New Roman" w:cs="Times New Roman"/>
          <w:color w:val="auto"/>
          <w:kern w:val="0"/>
          <w:szCs w:val="20"/>
        </w:rPr>
        <w:t>/kmol）；</w:t>
      </w:r>
    </w:p>
    <w:p>
      <w:pPr>
        <w:adjustRightInd w:val="0"/>
        <w:snapToGrid w:val="0"/>
        <w:ind w:firstLine="420" w:firstLineChars="200"/>
        <w:rPr>
          <w:rFonts w:hint="default" w:ascii="Times New Roman" w:hAnsi="Times New Roman" w:cs="Times New Roman"/>
          <w:color w:val="auto"/>
          <w:kern w:val="0"/>
          <w:szCs w:val="20"/>
        </w:rPr>
      </w:pPr>
      <w:r>
        <w:rPr>
          <w:rFonts w:hint="default" w:ascii="Times New Roman" w:hAnsi="Times New Roman" w:cs="Times New Roman"/>
          <w:color w:val="auto"/>
          <w:kern w:val="0"/>
          <w:szCs w:val="20"/>
        </w:rPr>
        <w:t>16——CH</w:t>
      </w:r>
      <w:r>
        <w:rPr>
          <w:rFonts w:hint="default" w:ascii="Times New Roman" w:hAnsi="Times New Roman" w:cs="Times New Roman"/>
          <w:color w:val="auto"/>
          <w:kern w:val="0"/>
          <w:szCs w:val="20"/>
          <w:vertAlign w:val="subscript"/>
        </w:rPr>
        <w:t>4</w:t>
      </w:r>
      <w:r>
        <w:rPr>
          <w:rFonts w:hint="default" w:ascii="Times New Roman" w:hAnsi="Times New Roman" w:cs="Times New Roman"/>
          <w:color w:val="auto"/>
          <w:kern w:val="0"/>
          <w:szCs w:val="20"/>
        </w:rPr>
        <w:t>分子量。</w:t>
      </w:r>
    </w:p>
    <w:p>
      <w:pPr>
        <w:pStyle w:val="26"/>
        <w:rPr>
          <w:rFonts w:hint="default" w:ascii="Times New Roman" w:hAnsi="Times New Roman" w:cs="Times New Roman"/>
          <w:color w:val="auto"/>
          <w:kern w:val="0"/>
          <w:szCs w:val="20"/>
        </w:rPr>
      </w:pPr>
      <w:r>
        <w:rPr>
          <w:rFonts w:hint="default" w:ascii="Times New Roman" w:hAnsi="Times New Roman" w:cs="Times New Roman"/>
          <w:color w:val="auto"/>
          <w:kern w:val="0"/>
          <w:szCs w:val="20"/>
        </w:rPr>
        <w:t>注：非标状况下的FR</w:t>
      </w:r>
      <w:r>
        <w:rPr>
          <w:rFonts w:hint="default" w:ascii="Times New Roman" w:hAnsi="Times New Roman" w:cs="Times New Roman"/>
          <w:color w:val="auto"/>
          <w:kern w:val="0"/>
          <w:szCs w:val="20"/>
          <w:vertAlign w:val="subscript"/>
        </w:rPr>
        <w:t>h</w:t>
      </w:r>
      <w:r>
        <w:rPr>
          <w:rFonts w:hint="default" w:ascii="Times New Roman" w:hAnsi="Times New Roman" w:cs="Times New Roman"/>
          <w:color w:val="auto"/>
          <w:kern w:val="0"/>
          <w:szCs w:val="20"/>
        </w:rPr>
        <w:t>需根据温度、压力转化成标准状况（0℃、1atm）下的流量</w:t>
      </w:r>
    </w:p>
    <w:p>
      <w:pPr>
        <w:pStyle w:val="26"/>
        <w:rPr>
          <w:rFonts w:hint="default" w:ascii="Times New Roman" w:hAnsi="Times New Roman" w:cs="Times New Roman"/>
          <w:color w:val="auto"/>
          <w:kern w:val="0"/>
          <w:szCs w:val="20"/>
        </w:rPr>
      </w:pPr>
    </w:p>
    <w:p>
      <w:pPr>
        <w:rPr>
          <w:rFonts w:hint="default" w:ascii="Times New Roman" w:hAnsi="Times New Roman" w:cs="Times New Roman"/>
          <w:color w:val="auto"/>
          <w:kern w:val="0"/>
          <w:szCs w:val="20"/>
        </w:rPr>
      </w:pPr>
      <w:r>
        <w:rPr>
          <w:rFonts w:hint="default" w:ascii="Times New Roman" w:hAnsi="Times New Roman" w:cs="Times New Roman"/>
          <w:color w:val="auto"/>
          <w:kern w:val="0"/>
          <w:szCs w:val="20"/>
        </w:rPr>
        <w:br w:type="page"/>
      </w:r>
    </w:p>
    <w:p>
      <w:pPr>
        <w:pStyle w:val="173"/>
        <w:spacing w:before="124" w:after="156"/>
      </w:pPr>
      <w:bookmarkStart w:id="165" w:name="_Toc13984"/>
      <w:bookmarkStart w:id="166" w:name="_Toc128508465"/>
      <w:bookmarkStart w:id="167" w:name="_Toc128585870"/>
      <w:bookmarkStart w:id="168" w:name="_Toc128676572"/>
      <w:bookmarkStart w:id="169" w:name="_Toc27845"/>
      <w:r>
        <w:rPr>
          <w:rFonts w:hint="eastAsia"/>
          <w:spacing w:val="105"/>
        </w:rPr>
        <w:t>参考文</w:t>
      </w:r>
      <w:r>
        <w:rPr>
          <w:rFonts w:hint="eastAsia"/>
        </w:rPr>
        <w:t>献</w:t>
      </w:r>
      <w:bookmarkEnd w:id="165"/>
      <w:bookmarkEnd w:id="166"/>
      <w:bookmarkEnd w:id="167"/>
      <w:bookmarkEnd w:id="168"/>
      <w:bookmarkEnd w:id="169"/>
    </w:p>
    <w:p>
      <w:pPr>
        <w:pStyle w:val="159"/>
        <w:ind w:firstLine="420"/>
        <w:rPr>
          <w:rFonts w:ascii="Times New Roman"/>
        </w:rPr>
      </w:pPr>
      <w:r>
        <w:rPr>
          <w:rFonts w:ascii="Times New Roman"/>
        </w:rPr>
        <w:t>[1] GB/T 32150—2015 工业企业温室气体排放核算与报告通则</w:t>
      </w:r>
    </w:p>
    <w:p>
      <w:pPr>
        <w:pStyle w:val="159"/>
        <w:ind w:firstLine="420"/>
        <w:rPr>
          <w:rFonts w:ascii="Times New Roman"/>
        </w:rPr>
      </w:pPr>
      <w:r>
        <w:rPr>
          <w:rFonts w:ascii="Times New Roman"/>
        </w:rPr>
        <w:t>[2] 省级温室气体清单编制指南（试行），国家发展和改革委员会办公厅</w:t>
      </w:r>
    </w:p>
    <w:p>
      <w:pPr>
        <w:pStyle w:val="159"/>
        <w:ind w:firstLine="420"/>
        <w:rPr>
          <w:rFonts w:ascii="Times New Roman"/>
        </w:rPr>
      </w:pPr>
      <w:r>
        <w:rPr>
          <w:rFonts w:ascii="Times New Roman"/>
        </w:rPr>
        <w:t>[3] 中国能源统计年鉴2021，中国统计出版社</w:t>
      </w:r>
    </w:p>
    <w:p>
      <w:pPr>
        <w:pStyle w:val="159"/>
        <w:ind w:firstLine="420"/>
        <w:rPr>
          <w:rFonts w:ascii="Times New Roman"/>
        </w:rPr>
      </w:pPr>
      <w:r>
        <w:rPr>
          <w:rFonts w:ascii="Times New Roman"/>
        </w:rPr>
        <w:t>[4] IPCC国家温室气体清单指南（2006）及2019年修订版，政府间气候变化专门委员会（IPCC）</w:t>
      </w:r>
    </w:p>
    <w:p>
      <w:pPr>
        <w:pStyle w:val="26"/>
        <w:rPr>
          <w:rFonts w:hint="default" w:ascii="Times New Roman" w:hAnsi="Times New Roman" w:cs="Times New Roman"/>
          <w:color w:val="auto"/>
          <w:kern w:val="0"/>
          <w:szCs w:val="20"/>
        </w:rPr>
      </w:pPr>
    </w:p>
    <w:p>
      <w:pPr>
        <w:pStyle w:val="26"/>
        <w:rPr>
          <w:rFonts w:hint="default" w:ascii="Times New Roman" w:hAnsi="Times New Roman" w:cs="Times New Roman"/>
          <w:color w:val="auto"/>
          <w:kern w:val="0"/>
          <w:szCs w:val="20"/>
        </w:rPr>
      </w:pPr>
    </w:p>
    <w:p>
      <w:pPr>
        <w:pStyle w:val="26"/>
        <w:rPr>
          <w:rFonts w:hint="default" w:ascii="Times New Roman" w:hAnsi="Times New Roman" w:cs="Times New Roman"/>
          <w:color w:val="auto"/>
          <w:kern w:val="0"/>
          <w:szCs w:val="20"/>
        </w:rPr>
      </w:pPr>
    </w:p>
    <w:p>
      <w:pPr>
        <w:pStyle w:val="26"/>
        <w:rPr>
          <w:rFonts w:hint="default" w:ascii="Times New Roman" w:hAnsi="Times New Roman" w:cs="Times New Roman"/>
          <w:color w:val="auto"/>
          <w:kern w:val="0"/>
          <w:szCs w:val="20"/>
        </w:rPr>
      </w:pPr>
    </w:p>
    <w:p>
      <w:pPr>
        <w:pStyle w:val="26"/>
        <w:rPr>
          <w:rFonts w:hint="default" w:ascii="Times New Roman" w:hAnsi="Times New Roman" w:eastAsia="宋体" w:cs="Times New Roman"/>
          <w:color w:val="auto"/>
          <w:kern w:val="0"/>
          <w:szCs w:val="20"/>
          <w:u w:val="none"/>
          <w:lang w:val="en-US" w:eastAsia="zh-CN"/>
        </w:rPr>
        <w:sectPr>
          <w:pgSz w:w="11906" w:h="16838"/>
          <w:pgMar w:top="567" w:right="1134" w:bottom="1134" w:left="1417" w:header="1418" w:footer="1134" w:gutter="0"/>
          <w:pgNumType w:fmt="decimal"/>
          <w:cols w:space="720" w:num="1"/>
          <w:formProt w:val="0"/>
          <w:docGrid w:type="lines" w:linePitch="312" w:charSpace="0"/>
        </w:sectPr>
      </w:pPr>
      <w:r>
        <w:rPr>
          <w:rFonts w:hint="eastAsia" w:ascii="Times New Roman" w:cs="Times New Roman"/>
          <w:color w:val="auto"/>
          <w:kern w:val="0"/>
          <w:szCs w:val="20"/>
          <w:lang w:val="en-US" w:eastAsia="zh-CN"/>
        </w:rPr>
        <w:t xml:space="preserve">                       </w:t>
      </w:r>
      <w:r>
        <w:rPr>
          <w:rFonts w:hint="eastAsia" w:ascii="Times New Roman" w:cs="Times New Roman"/>
          <w:color w:val="auto"/>
          <w:kern w:val="0"/>
          <w:szCs w:val="20"/>
          <w:u w:val="single"/>
          <w:lang w:val="en-US" w:eastAsia="zh-CN"/>
        </w:rPr>
        <w:t xml:space="preserve">                                 </w:t>
      </w:r>
      <w:r>
        <w:rPr>
          <w:rFonts w:hint="eastAsia" w:ascii="Times New Roman" w:cs="Times New Roman"/>
          <w:color w:val="auto"/>
          <w:kern w:val="0"/>
          <w:szCs w:val="20"/>
          <w:u w:val="none"/>
          <w:lang w:val="en-US" w:eastAsia="zh-CN"/>
        </w:rPr>
        <w:t xml:space="preserve">                       </w:t>
      </w:r>
    </w:p>
    <w:p>
      <w:pPr>
        <w:adjustRightInd/>
        <w:snapToGrid/>
        <w:ind w:firstLine="0" w:firstLineChars="0"/>
        <w:rPr>
          <w:rFonts w:ascii="宋体"/>
          <w:b/>
          <w:bCs/>
          <w:color w:val="auto"/>
          <w:kern w:val="0"/>
          <w:szCs w:val="20"/>
        </w:rPr>
      </w:pPr>
    </w:p>
    <w:sectPr>
      <w:footerReference r:id="rId14" w:type="default"/>
      <w:pgSz w:w="11906" w:h="16838"/>
      <w:pgMar w:top="567" w:right="1134" w:bottom="1134" w:left="1417" w:header="1418" w:footer="1134" w:gutter="0"/>
      <w:pgNumType w:fmt="decimal"/>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2"/>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2"/>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82"/>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7"/>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2"/>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2"/>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2"/>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2"/>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82"/>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jc w:val="cente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spacing w:before="120" w:after="120"/>
                            <w:jc w:val="center"/>
                            <w:rPr>
                              <w:sz w:val="13"/>
                              <w:szCs w:val="13"/>
                            </w:rPr>
                          </w:pPr>
                          <w:r>
                            <w:rPr>
                              <w:sz w:val="20"/>
                              <w:szCs w:val="20"/>
                            </w:rPr>
                            <w:fldChar w:fldCharType="begin"/>
                          </w:r>
                          <w:r>
                            <w:rPr>
                              <w:sz w:val="20"/>
                              <w:szCs w:val="20"/>
                            </w:rPr>
                            <w:instrText xml:space="preserve"> PAGE   \* MERGEFORMAT </w:instrText>
                          </w:r>
                          <w:r>
                            <w:rPr>
                              <w:sz w:val="20"/>
                              <w:szCs w:val="20"/>
                            </w:rPr>
                            <w:fldChar w:fldCharType="separate"/>
                          </w:r>
                          <w:r>
                            <w:rPr>
                              <w:sz w:val="20"/>
                              <w:szCs w:val="20"/>
                              <w:lang w:val="zh-CN"/>
                            </w:rPr>
                            <w:t>34</w:t>
                          </w:r>
                          <w:r>
                            <w:rPr>
                              <w:sz w:val="20"/>
                              <w:szCs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0"/>
                      <w:spacing w:before="120" w:after="120"/>
                      <w:jc w:val="center"/>
                      <w:rPr>
                        <w:sz w:val="13"/>
                        <w:szCs w:val="13"/>
                      </w:rPr>
                    </w:pPr>
                    <w:r>
                      <w:rPr>
                        <w:sz w:val="20"/>
                        <w:szCs w:val="20"/>
                      </w:rPr>
                      <w:fldChar w:fldCharType="begin"/>
                    </w:r>
                    <w:r>
                      <w:rPr>
                        <w:sz w:val="20"/>
                        <w:szCs w:val="20"/>
                      </w:rPr>
                      <w:instrText xml:space="preserve"> PAGE   \* MERGEFORMAT </w:instrText>
                    </w:r>
                    <w:r>
                      <w:rPr>
                        <w:sz w:val="20"/>
                        <w:szCs w:val="20"/>
                      </w:rPr>
                      <w:fldChar w:fldCharType="separate"/>
                    </w:r>
                    <w:r>
                      <w:rPr>
                        <w:sz w:val="20"/>
                        <w:szCs w:val="20"/>
                        <w:lang w:val="zh-CN"/>
                      </w:rPr>
                      <w:t>34</w:t>
                    </w:r>
                    <w:r>
                      <w:rPr>
                        <w:sz w:val="20"/>
                        <w:szCs w:val="20"/>
                      </w:rPr>
                      <w:fldChar w:fldCharType="end"/>
                    </w:r>
                  </w:p>
                </w:txbxContent>
              </v:textbox>
            </v:shape>
          </w:pict>
        </mc:Fallback>
      </mc:AlternateContent>
    </w:r>
  </w:p>
  <w:p>
    <w:pPr>
      <w:pStyle w:val="20"/>
      <w:spacing w:before="120" w:after="12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spacing w:before="120" w:after="120"/>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34</w:t>
                          </w:r>
                          <w:r>
                            <w:rPr>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0"/>
                      <w:spacing w:before="120" w:after="120"/>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34</w:t>
                    </w:r>
                    <w:r>
                      <w:rPr>
                        <w:sz w:val="24"/>
                        <w:szCs w:val="24"/>
                      </w:rPr>
                      <w:fldChar w:fldCharType="end"/>
                    </w:r>
                  </w:p>
                </w:txbxContent>
              </v:textbox>
            </v:shape>
          </w:pict>
        </mc:Fallback>
      </mc:AlternateContent>
    </w:r>
  </w:p>
  <w:p>
    <w:pPr>
      <w:pStyle w:val="20"/>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8">
    <w:p>
      <w:r>
        <w:separator/>
      </w:r>
    </w:p>
  </w:footnote>
  <w:footnote w:type="continuationSeparator" w:id="19">
    <w:p>
      <w:r>
        <w:continuationSeparator/>
      </w:r>
    </w:p>
  </w:footnote>
  <w:footnote w:id="0">
    <w:p>
      <w:pPr>
        <w:pStyle w:val="27"/>
        <w:ind w:left="420" w:firstLine="0" w:firstLineChars="0"/>
        <w:rPr>
          <w:rFonts w:ascii="Times New Roman"/>
        </w:rPr>
      </w:pPr>
      <w:r>
        <w:rPr>
          <w:rStyle w:val="47"/>
        </w:rPr>
        <w:footnoteRef/>
      </w:r>
      <w:r>
        <w:rPr>
          <w:rStyle w:val="47"/>
        </w:rPr>
        <w:t xml:space="preserve">  </w:t>
      </w:r>
      <w:r>
        <w:rPr>
          <w:rFonts w:hint="eastAsia" w:ascii="Times New Roman"/>
        </w:rPr>
        <w:t>本指南所称存量常规水电是指</w:t>
      </w:r>
      <w:r>
        <w:rPr>
          <w:rFonts w:ascii="Times New Roman"/>
        </w:rPr>
        <w:t>2023</w:t>
      </w:r>
      <w:r>
        <w:rPr>
          <w:rFonts w:hint="eastAsia" w:ascii="Times New Roman"/>
        </w:rPr>
        <w:t>年</w:t>
      </w:r>
      <w:r>
        <w:rPr>
          <w:rFonts w:ascii="Times New Roman"/>
        </w:rPr>
        <w:t>1</w:t>
      </w:r>
      <w:r>
        <w:rPr>
          <w:rFonts w:hint="eastAsia" w:ascii="Times New Roman"/>
        </w:rPr>
        <w:t>月</w:t>
      </w:r>
      <w:r>
        <w:rPr>
          <w:rFonts w:ascii="Times New Roman"/>
        </w:rPr>
        <w:t>1</w:t>
      </w:r>
      <w:r>
        <w:rPr>
          <w:rFonts w:hint="eastAsia" w:ascii="Times New Roman"/>
        </w:rPr>
        <w:t>日之前投产的水电项目。</w:t>
      </w:r>
    </w:p>
  </w:footnote>
  <w:footnote w:id="1">
    <w:p>
      <w:pPr>
        <w:pStyle w:val="27"/>
        <w:numPr>
          <w:ilvl w:val="0"/>
          <w:numId w:val="21"/>
        </w:numPr>
        <w:ind w:left="425" w:leftChars="0" w:hanging="425" w:firstLineChars="0"/>
        <w:rPr>
          <w:rFonts w:hAnsi="宋体"/>
        </w:rPr>
      </w:pPr>
      <w:r>
        <w:rPr>
          <w:rFonts w:hint="eastAsia" w:hAnsi="宋体"/>
          <w:vertAlign w:val="superscript"/>
          <w:lang w:val="en-US" w:eastAsia="zh-CN"/>
        </w:rPr>
        <w:t>2</w:t>
      </w:r>
      <w:r>
        <w:rPr>
          <w:rFonts w:hint="eastAsia" w:hAnsi="宋体"/>
        </w:rPr>
        <w:t>按企业层级边界要求具体描述。</w:t>
      </w:r>
    </w:p>
  </w:footnote>
  <w:footnote w:id="2">
    <w:p>
      <w:pPr>
        <w:pStyle w:val="27"/>
        <w:numPr>
          <w:ilvl w:val="0"/>
          <w:numId w:val="21"/>
        </w:numPr>
        <w:ind w:left="425" w:leftChars="0" w:hanging="425" w:firstLineChars="0"/>
        <w:rPr>
          <w:rFonts w:hAnsi="宋体"/>
        </w:rPr>
      </w:pPr>
      <w:r>
        <w:rPr>
          <w:rFonts w:hint="eastAsia" w:hAnsi="宋体"/>
          <w:vertAlign w:val="superscript"/>
        </w:rPr>
        <w:t>3</w:t>
      </w:r>
      <w:r>
        <w:rPr>
          <w:rFonts w:hint="eastAsia" w:hAnsi="宋体"/>
        </w:rPr>
        <w:t>对于同一设施同时</w:t>
      </w:r>
      <w:r>
        <w:rPr>
          <w:rFonts w:ascii="Times New Roman"/>
        </w:rPr>
        <w:t>涉及</w:t>
      </w:r>
      <w:r>
        <w:rPr>
          <w:rFonts w:hint="eastAsia" w:ascii="Times New Roman"/>
          <w:lang w:val="en-US" w:eastAsia="zh-CN"/>
        </w:rPr>
        <w:t>5.1/5.2/5.3</w:t>
      </w:r>
      <w:r>
        <w:rPr>
          <w:rFonts w:ascii="Times New Roman"/>
        </w:rPr>
        <w:t>类排放的</w:t>
      </w:r>
      <w:r>
        <w:rPr>
          <w:rFonts w:hint="eastAsia" w:hAnsi="宋体"/>
        </w:rPr>
        <w:t>，需要在各类排放设施中重复填写。</w:t>
      </w:r>
    </w:p>
  </w:footnote>
  <w:footnote w:id="3">
    <w:p>
      <w:pPr>
        <w:pStyle w:val="27"/>
        <w:numPr>
          <w:ilvl w:val="0"/>
          <w:numId w:val="21"/>
        </w:numPr>
        <w:ind w:left="425" w:leftChars="0" w:hanging="425" w:firstLineChars="0"/>
        <w:rPr>
          <w:rFonts w:hAnsi="宋体"/>
        </w:rPr>
      </w:pPr>
      <w:r>
        <w:rPr>
          <w:rFonts w:hint="eastAsia" w:hAnsi="宋体"/>
          <w:vertAlign w:val="superscript"/>
        </w:rPr>
        <w:t>4</w:t>
      </w:r>
      <w:r>
        <w:rPr>
          <w:rFonts w:hint="eastAsia" w:hAnsi="宋体"/>
        </w:rPr>
        <w:t>例如燃煤过程产生的碳排放。</w:t>
      </w:r>
    </w:p>
  </w:footnote>
  <w:footnote w:id="4">
    <w:p>
      <w:pPr>
        <w:pStyle w:val="27"/>
        <w:numPr>
          <w:ilvl w:val="0"/>
          <w:numId w:val="21"/>
        </w:numPr>
        <w:ind w:left="425" w:leftChars="0" w:hanging="425" w:firstLineChars="0"/>
        <w:rPr>
          <w:rFonts w:hAnsi="宋体"/>
        </w:rPr>
      </w:pPr>
      <w:r>
        <w:rPr>
          <w:rFonts w:hint="eastAsia" w:hAnsi="宋体"/>
          <w:vertAlign w:val="superscript"/>
        </w:rPr>
        <w:t>5</w:t>
      </w:r>
      <w:r>
        <w:rPr>
          <w:rFonts w:hint="eastAsia" w:hAnsi="宋体"/>
        </w:rPr>
        <w:t>例如碳酸盐分解过程产生的碳排放。</w:t>
      </w:r>
    </w:p>
  </w:footnote>
  <w:footnote w:id="5">
    <w:p>
      <w:pPr>
        <w:pStyle w:val="27"/>
        <w:numPr>
          <w:ilvl w:val="0"/>
          <w:numId w:val="21"/>
        </w:numPr>
        <w:ind w:left="425" w:leftChars="0" w:hanging="425" w:firstLineChars="0"/>
      </w:pPr>
      <w:r>
        <w:rPr>
          <w:rFonts w:hint="eastAsia" w:hAnsi="宋体"/>
          <w:vertAlign w:val="superscript"/>
          <w:lang w:val="en-US" w:eastAsia="zh-CN"/>
        </w:rPr>
        <w:t>7</w:t>
      </w:r>
      <w:r>
        <w:rPr>
          <w:rFonts w:hint="eastAsia" w:hAnsi="宋体"/>
        </w:rPr>
        <w:t>该类设施，特别是耗电设施，只需填写主要设施即可，例如耗电量较小的照明设施可不填写。</w:t>
      </w:r>
    </w:p>
  </w:footnote>
  <w:footnote w:id="6">
    <w:p>
      <w:pPr>
        <w:pStyle w:val="27"/>
        <w:numPr>
          <w:ilvl w:val="0"/>
          <w:numId w:val="21"/>
        </w:numPr>
        <w:ind w:left="425" w:leftChars="0" w:hanging="425" w:firstLineChars="0"/>
        <w:rPr>
          <w:rFonts w:hAnsi="宋体"/>
        </w:rPr>
      </w:pPr>
      <w:r>
        <w:rPr>
          <w:rFonts w:hint="eastAsia" w:hAnsi="宋体"/>
          <w:vertAlign w:val="superscript"/>
        </w:rPr>
        <w:t>7</w:t>
      </w:r>
      <w:r>
        <w:rPr>
          <w:rFonts w:hint="eastAsia" w:hAnsi="宋体"/>
        </w:rPr>
        <w:t>如果报告数据是由若干个参数通过一定的计算方法计算得出，需要填写计算公式以及计算公式中的每一个参数的获取方式。</w:t>
      </w:r>
    </w:p>
  </w:footnote>
  <w:footnote w:id="7">
    <w:p>
      <w:pPr>
        <w:pStyle w:val="27"/>
        <w:numPr>
          <w:ilvl w:val="0"/>
          <w:numId w:val="0"/>
        </w:numPr>
        <w:ind w:left="720"/>
        <w:rPr>
          <w:rFonts w:eastAsia="方正仿宋_GBK"/>
        </w:rPr>
      </w:pPr>
      <w:r>
        <w:rPr>
          <w:rFonts w:hint="eastAsia" w:hAnsi="宋体"/>
          <w:vertAlign w:val="superscript"/>
        </w:rPr>
        <w:t>8</w:t>
      </w:r>
      <w:r>
        <w:rPr>
          <w:rFonts w:hint="eastAsia" w:hAnsi="宋体"/>
        </w:rPr>
        <w:t>填报时请列明具体的燃料名称，同一燃料品种仅需填报一次；如果有多个设施消耗同一种燃料，请在“数据的计算方法及获取方式”中对“消耗量”、“低位发热量”、“单位热值含碳量”、“含碳量”“碳氧化率”等参数进行详细描述，不同设施的同一燃料相关信息应分别列明。</w:t>
      </w:r>
    </w:p>
  </w:footnote>
  <w:footnote w:id="8">
    <w:p>
      <w:pPr>
        <w:pStyle w:val="27"/>
        <w:numPr>
          <w:ilvl w:val="0"/>
          <w:numId w:val="0"/>
        </w:numPr>
        <w:ind w:left="720"/>
        <w:rPr>
          <w:rFonts w:hAnsi="宋体"/>
        </w:rPr>
      </w:pPr>
      <w:r>
        <w:rPr>
          <w:rFonts w:hint="eastAsia" w:hAnsi="宋体"/>
          <w:vertAlign w:val="superscript"/>
        </w:rPr>
        <w:t>9</w:t>
      </w:r>
      <w:r>
        <w:rPr>
          <w:rFonts w:hint="eastAsia" w:hAnsi="宋体"/>
        </w:rPr>
        <w:t>如果报告数据是由若干个参数通过一定的计算方法计算得出，需要填写计算公式以及计算公式中的每一个参数的获取方式。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right"/>
      <w:rPr>
        <w:rFonts w:hint="eastAsia" w:ascii="黑体" w:hAnsi="黑体" w:eastAsia="黑体" w:cs="黑体"/>
        <w:lang w:val="en-US" w:eastAsia="zh-CN"/>
      </w:rPr>
    </w:pPr>
    <w:r>
      <w:rPr>
        <w:rFonts w:hint="eastAsia" w:ascii="黑体" w:hAnsi="黑体" w:eastAsia="黑体" w:cs="黑体"/>
        <w:lang w:val="en-US" w:eastAsia="zh-CN"/>
      </w:rPr>
      <w:t>GB/T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right"/>
      <w:rPr>
        <w:rFonts w:hint="eastAsia" w:ascii="黑体" w:hAnsi="黑体" w:eastAsia="黑体" w:cs="黑体"/>
        <w:lang w:val="en-US" w:eastAsia="zh-CN"/>
      </w:rPr>
    </w:pPr>
    <w:r>
      <w:rPr>
        <w:rFonts w:hint="eastAsia" w:ascii="黑体" w:hAnsi="黑体" w:eastAsia="黑体" w:cs="黑体"/>
        <w:lang w:val="en-US" w:eastAsia="zh-CN"/>
      </w:rPr>
      <w:t>GB/T XXXX-XXXX</w:t>
    </w:r>
  </w:p>
  <w:p>
    <w:pPr>
      <w:pStyle w:val="5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wordWrap w:val="0"/>
      <w:rPr>
        <w:rFonts w:hint="default" w:eastAsia="黑体"/>
        <w:lang w:val="en-US" w:eastAsia="zh-CN"/>
      </w:rPr>
    </w:pPr>
    <w:r>
      <w:rPr>
        <w:rFonts w:hint="eastAsia"/>
        <w:lang w:val="en-US" w:eastAsia="zh-CN"/>
      </w:rPr>
      <w:t>GB/T 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wordWrap w:val="0"/>
      <w:rPr>
        <w:rFonts w:hint="default" w:eastAsia="黑体"/>
        <w:lang w:val="en-US" w:eastAsia="zh-CN"/>
      </w:rPr>
    </w:pPr>
    <w:r>
      <w:rPr>
        <w:rFonts w:hint="eastAsia"/>
        <w:lang w:val="en-US" w:eastAsia="zh-CN"/>
      </w:rPr>
      <w:t>GB/T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6DA2F3"/>
    <w:multiLevelType w:val="singleLevel"/>
    <w:tmpl w:val="DC6DA2F3"/>
    <w:lvl w:ilvl="0" w:tentative="0">
      <w:start w:val="1"/>
      <w:numFmt w:val="decimal"/>
      <w:lvlText w:val="%1)"/>
      <w:lvlJc w:val="left"/>
      <w:pPr>
        <w:ind w:left="425" w:hanging="425"/>
      </w:pPr>
      <w:rPr>
        <w:rFonts w:hint="default"/>
      </w:rPr>
    </w:lvl>
  </w:abstractNum>
  <w:abstractNum w:abstractNumId="1">
    <w:nsid w:val="0000000C"/>
    <w:multiLevelType w:val="multilevel"/>
    <w:tmpl w:val="0000000C"/>
    <w:lvl w:ilvl="0" w:tentative="0">
      <w:start w:val="5"/>
      <w:numFmt w:val="bullet"/>
      <w:lvlText w:val="−"/>
      <w:lvlJc w:val="left"/>
      <w:pPr>
        <w:ind w:left="630" w:hanging="420"/>
      </w:pPr>
      <w:rPr>
        <w:rFonts w:hint="default" w:ascii="Times New Roman" w:hAnsi="Times New Roman" w:eastAsia="微软雅黑"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000000F"/>
    <w:multiLevelType w:val="multilevel"/>
    <w:tmpl w:val="0000000F"/>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0000011"/>
    <w:multiLevelType w:val="multilevel"/>
    <w:tmpl w:val="00000011"/>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0000015"/>
    <w:multiLevelType w:val="multilevel"/>
    <w:tmpl w:val="00000015"/>
    <w:lvl w:ilvl="0" w:tentative="0">
      <w:start w:val="1"/>
      <w:numFmt w:val="decimal"/>
      <w:lvlText w:val="%1."/>
      <w:lvlJc w:val="left"/>
      <w:pPr>
        <w:ind w:left="42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079102AD"/>
    <w:multiLevelType w:val="multilevel"/>
    <w:tmpl w:val="079102AD"/>
    <w:lvl w:ilvl="0" w:tentative="0">
      <w:start w:val="1"/>
      <w:numFmt w:val="decimal"/>
      <w:pStyle w:val="7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93C6778"/>
    <w:multiLevelType w:val="multilevel"/>
    <w:tmpl w:val="093C6778"/>
    <w:lvl w:ilvl="0" w:tentative="0">
      <w:start w:val="1"/>
      <w:numFmt w:val="decimal"/>
      <w:pStyle w:val="13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0AE367E9"/>
    <w:multiLevelType w:val="multilevel"/>
    <w:tmpl w:val="0AE367E9"/>
    <w:lvl w:ilvl="0" w:tentative="0">
      <w:start w:val="1"/>
      <w:numFmt w:val="none"/>
      <w:pStyle w:val="6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DDE2B46"/>
    <w:multiLevelType w:val="multilevel"/>
    <w:tmpl w:val="0DDE2B46"/>
    <w:lvl w:ilvl="0" w:tentative="0">
      <w:start w:val="1"/>
      <w:numFmt w:val="lowerLetter"/>
      <w:pStyle w:val="13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9">
    <w:nsid w:val="1DBF583A"/>
    <w:multiLevelType w:val="multilevel"/>
    <w:tmpl w:val="1DBF583A"/>
    <w:lvl w:ilvl="0" w:tentative="0">
      <w:start w:val="1"/>
      <w:numFmt w:val="decimal"/>
      <w:pStyle w:val="79"/>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0">
    <w:nsid w:val="1FC91163"/>
    <w:multiLevelType w:val="multilevel"/>
    <w:tmpl w:val="1FC91163"/>
    <w:lvl w:ilvl="0" w:tentative="0">
      <w:start w:val="1"/>
      <w:numFmt w:val="decimal"/>
      <w:pStyle w:val="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60"/>
      <w:suff w:val="nothing"/>
      <w:lvlText w:val="%1.%2.%3　"/>
      <w:lvlJc w:val="left"/>
      <w:pPr>
        <w:ind w:left="0" w:firstLine="0"/>
      </w:pPr>
      <w:rPr>
        <w:rFonts w:hint="eastAsia" w:ascii="黑体" w:hAnsi="Times New Roman" w:eastAsia="黑体"/>
        <w:b w:val="0"/>
        <w:i w:val="0"/>
        <w:sz w:val="21"/>
      </w:rPr>
    </w:lvl>
    <w:lvl w:ilvl="3" w:tentative="0">
      <w:start w:val="1"/>
      <w:numFmt w:val="decimal"/>
      <w:pStyle w:val="65"/>
      <w:suff w:val="nothing"/>
      <w:lvlText w:val="%1.%2.%3.%4　"/>
      <w:lvlJc w:val="left"/>
      <w:pPr>
        <w:ind w:left="0" w:firstLine="0"/>
      </w:pPr>
      <w:rPr>
        <w:rFonts w:hint="eastAsia" w:ascii="黑体" w:hAnsi="Times New Roman" w:eastAsia="黑体"/>
        <w:b w:val="0"/>
        <w:i w:val="0"/>
        <w:sz w:val="21"/>
      </w:rPr>
    </w:lvl>
    <w:lvl w:ilvl="4" w:tentative="0">
      <w:start w:val="1"/>
      <w:numFmt w:val="decimal"/>
      <w:pStyle w:val="69"/>
      <w:suff w:val="nothing"/>
      <w:lvlText w:val="%1.%2.%3.%4.%5　"/>
      <w:lvlJc w:val="left"/>
      <w:pPr>
        <w:ind w:left="0" w:firstLine="0"/>
      </w:pPr>
      <w:rPr>
        <w:rFonts w:hint="eastAsia" w:ascii="黑体" w:hAnsi="Times New Roman" w:eastAsia="黑体"/>
        <w:b w:val="0"/>
        <w:i w:val="0"/>
        <w:sz w:val="21"/>
      </w:rPr>
    </w:lvl>
    <w:lvl w:ilvl="5" w:tentative="0">
      <w:start w:val="1"/>
      <w:numFmt w:val="decimal"/>
      <w:pStyle w:val="7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A8F7113"/>
    <w:multiLevelType w:val="multilevel"/>
    <w:tmpl w:val="2A8F7113"/>
    <w:lvl w:ilvl="0" w:tentative="0">
      <w:start w:val="1"/>
      <w:numFmt w:val="upperLetter"/>
      <w:pStyle w:val="112"/>
      <w:suff w:val="space"/>
      <w:lvlText w:val="%1"/>
      <w:lvlJc w:val="left"/>
      <w:pPr>
        <w:ind w:left="623" w:hanging="425"/>
      </w:pPr>
      <w:rPr>
        <w:rFonts w:hint="eastAsia"/>
      </w:rPr>
    </w:lvl>
    <w:lvl w:ilvl="1" w:tentative="0">
      <w:start w:val="1"/>
      <w:numFmt w:val="decimal"/>
      <w:pStyle w:val="11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2">
    <w:nsid w:val="2C5917C3"/>
    <w:multiLevelType w:val="multilevel"/>
    <w:tmpl w:val="2C5917C3"/>
    <w:lvl w:ilvl="0" w:tentative="0">
      <w:start w:val="1"/>
      <w:numFmt w:val="none"/>
      <w:pStyle w:val="62"/>
      <w:suff w:val="nothing"/>
      <w:lvlText w:val="%1——"/>
      <w:lvlJc w:val="left"/>
      <w:pPr>
        <w:ind w:left="833" w:hanging="408"/>
      </w:pPr>
      <w:rPr>
        <w:rFonts w:hint="eastAsia"/>
      </w:rPr>
    </w:lvl>
    <w:lvl w:ilvl="1" w:tentative="0">
      <w:start w:val="1"/>
      <w:numFmt w:val="bullet"/>
      <w:pStyle w:val="63"/>
      <w:lvlText w:val=""/>
      <w:lvlJc w:val="left"/>
      <w:pPr>
        <w:tabs>
          <w:tab w:val="left" w:pos="760"/>
        </w:tabs>
        <w:ind w:left="1264" w:hanging="413"/>
      </w:pPr>
      <w:rPr>
        <w:rFonts w:hint="default" w:ascii="Symbol" w:hAnsi="Symbol"/>
        <w:color w:val="auto"/>
      </w:rPr>
    </w:lvl>
    <w:lvl w:ilvl="2" w:tentative="0">
      <w:start w:val="1"/>
      <w:numFmt w:val="bullet"/>
      <w:pStyle w:val="7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7DE771F"/>
    <w:multiLevelType w:val="multilevel"/>
    <w:tmpl w:val="37DE771F"/>
    <w:lvl w:ilvl="0" w:tentative="0">
      <w:start w:val="1"/>
      <w:numFmt w:val="lowerLetter"/>
      <w:pStyle w:val="7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8"/>
      <w:lvlText w:val="%2)"/>
      <w:lvlJc w:val="left"/>
      <w:pPr>
        <w:tabs>
          <w:tab w:val="left" w:pos="1260"/>
        </w:tabs>
        <w:ind w:left="1259" w:hanging="419"/>
      </w:pPr>
      <w:rPr>
        <w:rFonts w:hint="eastAsia"/>
      </w:rPr>
    </w:lvl>
    <w:lvl w:ilvl="2" w:tentative="0">
      <w:start w:val="1"/>
      <w:numFmt w:val="decimal"/>
      <w:pStyle w:val="7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3D733618"/>
    <w:multiLevelType w:val="multilevel"/>
    <w:tmpl w:val="3D733618"/>
    <w:lvl w:ilvl="0" w:tentative="0">
      <w:start w:val="1"/>
      <w:numFmt w:val="decimal"/>
      <w:pStyle w:val="2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5">
    <w:nsid w:val="44C50F90"/>
    <w:multiLevelType w:val="multilevel"/>
    <w:tmpl w:val="44C50F90"/>
    <w:lvl w:ilvl="0" w:tentative="0">
      <w:start w:val="1"/>
      <w:numFmt w:val="lowerLetter"/>
      <w:pStyle w:val="165"/>
      <w:lvlText w:val="%1)"/>
      <w:lvlJc w:val="left"/>
      <w:pPr>
        <w:tabs>
          <w:tab w:val="left" w:pos="851"/>
        </w:tabs>
        <w:ind w:left="851" w:hanging="426"/>
      </w:pPr>
      <w:rPr>
        <w:rFonts w:hint="default" w:ascii="Times New Roman" w:hAnsi="Times New Roman" w:eastAsia="宋体" w:cs="Times New Roman"/>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B733A5F"/>
    <w:multiLevelType w:val="multilevel"/>
    <w:tmpl w:val="4B733A5F"/>
    <w:lvl w:ilvl="0" w:tentative="0">
      <w:start w:val="1"/>
      <w:numFmt w:val="decimal"/>
      <w:pStyle w:val="7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7">
    <w:nsid w:val="557C2AF5"/>
    <w:multiLevelType w:val="multilevel"/>
    <w:tmpl w:val="557C2AF5"/>
    <w:lvl w:ilvl="0" w:tentative="0">
      <w:start w:val="1"/>
      <w:numFmt w:val="decimal"/>
      <w:pStyle w:val="14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72"/>
      <w:suff w:val="space"/>
      <w:lvlText w:val="表%1.%2"/>
      <w:lvlJc w:val="center"/>
      <w:pPr>
        <w:ind w:left="0" w:firstLine="0"/>
      </w:pPr>
      <w:rPr>
        <w:rFonts w:hint="default" w:ascii="Times New Roman" w:hAnsi="Times New Roman" w:eastAsia="黑体" w:cs="Times New Roman"/>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DE411BE"/>
    <w:multiLevelType w:val="multilevel"/>
    <w:tmpl w:val="5DE411BE"/>
    <w:lvl w:ilvl="0" w:tentative="0">
      <w:start w:val="1"/>
      <w:numFmt w:val="decimal"/>
      <w:lvlText w:val="%1."/>
      <w:lvlJc w:val="left"/>
      <w:pPr>
        <w:ind w:left="42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60B55DC2"/>
    <w:multiLevelType w:val="multilevel"/>
    <w:tmpl w:val="60B55DC2"/>
    <w:lvl w:ilvl="0" w:tentative="0">
      <w:start w:val="1"/>
      <w:numFmt w:val="upperLetter"/>
      <w:pStyle w:val="100"/>
      <w:lvlText w:val="%1"/>
      <w:lvlJc w:val="left"/>
      <w:pPr>
        <w:tabs>
          <w:tab w:val="left" w:pos="0"/>
        </w:tabs>
        <w:ind w:left="0" w:hanging="425"/>
      </w:pPr>
      <w:rPr>
        <w:rFonts w:hint="eastAsia"/>
      </w:rPr>
    </w:lvl>
    <w:lvl w:ilvl="1" w:tentative="0">
      <w:start w:val="1"/>
      <w:numFmt w:val="decimal"/>
      <w:pStyle w:val="10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1">
    <w:nsid w:val="646260FA"/>
    <w:multiLevelType w:val="multilevel"/>
    <w:tmpl w:val="646260FA"/>
    <w:lvl w:ilvl="0" w:tentative="0">
      <w:start w:val="1"/>
      <w:numFmt w:val="decimal"/>
      <w:pStyle w:val="16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2">
    <w:nsid w:val="657D3FBC"/>
    <w:multiLevelType w:val="multilevel"/>
    <w:tmpl w:val="657D3FBC"/>
    <w:lvl w:ilvl="0" w:tentative="0">
      <w:start w:val="1"/>
      <w:numFmt w:val="upperLetter"/>
      <w:pStyle w:val="9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1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7"/>
      <w:suff w:val="nothing"/>
      <w:lvlText w:val="%1.%2.%3　"/>
      <w:lvlJc w:val="left"/>
      <w:pPr>
        <w:ind w:left="0" w:firstLine="0"/>
      </w:pPr>
      <w:rPr>
        <w:rFonts w:hint="eastAsia" w:ascii="黑体" w:hAnsi="Times New Roman" w:eastAsia="黑体"/>
        <w:b w:val="0"/>
        <w:i w:val="0"/>
        <w:sz w:val="21"/>
      </w:rPr>
    </w:lvl>
    <w:lvl w:ilvl="3" w:tentative="0">
      <w:start w:val="1"/>
      <w:numFmt w:val="decimal"/>
      <w:pStyle w:val="102"/>
      <w:suff w:val="nothing"/>
      <w:lvlText w:val="%1.%2.%3.%4　"/>
      <w:lvlJc w:val="left"/>
      <w:pPr>
        <w:ind w:left="0" w:firstLine="0"/>
      </w:pPr>
      <w:rPr>
        <w:rFonts w:hint="eastAsia" w:ascii="黑体" w:hAnsi="Times New Roman" w:eastAsia="黑体"/>
        <w:b w:val="0"/>
        <w:i w:val="0"/>
        <w:sz w:val="21"/>
      </w:rPr>
    </w:lvl>
    <w:lvl w:ilvl="4" w:tentative="0">
      <w:start w:val="1"/>
      <w:numFmt w:val="decimal"/>
      <w:pStyle w:val="107"/>
      <w:suff w:val="nothing"/>
      <w:lvlText w:val="%1.%2.%3.%4.%5　"/>
      <w:lvlJc w:val="left"/>
      <w:pPr>
        <w:ind w:left="0" w:firstLine="0"/>
      </w:pPr>
      <w:rPr>
        <w:rFonts w:hint="eastAsia" w:ascii="黑体" w:hAnsi="Times New Roman" w:eastAsia="黑体"/>
        <w:b w:val="0"/>
        <w:i w:val="0"/>
        <w:sz w:val="21"/>
      </w:rPr>
    </w:lvl>
    <w:lvl w:ilvl="5" w:tentative="0">
      <w:start w:val="1"/>
      <w:numFmt w:val="decimal"/>
      <w:pStyle w:val="110"/>
      <w:suff w:val="nothing"/>
      <w:lvlText w:val="%1.%2.%3.%4.%5.%6　"/>
      <w:lvlJc w:val="left"/>
      <w:pPr>
        <w:ind w:left="0" w:firstLine="0"/>
      </w:pPr>
      <w:rPr>
        <w:rFonts w:hint="eastAsia" w:ascii="黑体" w:hAnsi="Times New Roman" w:eastAsia="黑体"/>
        <w:b w:val="0"/>
        <w:i w:val="0"/>
        <w:sz w:val="21"/>
      </w:rPr>
    </w:lvl>
    <w:lvl w:ilvl="6" w:tentative="0">
      <w:start w:val="1"/>
      <w:numFmt w:val="decimal"/>
      <w:pStyle w:val="11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66926B4"/>
    <w:multiLevelType w:val="multilevel"/>
    <w:tmpl w:val="666926B4"/>
    <w:lvl w:ilvl="0" w:tentative="0">
      <w:start w:val="1"/>
      <w:numFmt w:val="decimal"/>
      <w:lvlText w:val="%1."/>
      <w:lvlJc w:val="left"/>
      <w:pPr>
        <w:ind w:left="420" w:hanging="420"/>
      </w:pPr>
      <w:rPr>
        <w:rFonts w:hint="default"/>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63"/>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pStyle w:val="162"/>
      <w:suff w:val="nothing"/>
      <w:lvlText w:val="%1%2.%3　"/>
      <w:lvlJc w:val="left"/>
      <w:pPr>
        <w:ind w:left="0" w:firstLine="0"/>
      </w:pPr>
      <w:rPr>
        <w:rFonts w:hint="default" w:ascii="Times New Roman"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69"/>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pStyle w:val="170"/>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6D6C07CD"/>
    <w:multiLevelType w:val="multilevel"/>
    <w:tmpl w:val="6D6C07CD"/>
    <w:lvl w:ilvl="0" w:tentative="0">
      <w:start w:val="1"/>
      <w:numFmt w:val="lowerLetter"/>
      <w:pStyle w:val="119"/>
      <w:lvlText w:val="%1)"/>
      <w:lvlJc w:val="left"/>
      <w:pPr>
        <w:tabs>
          <w:tab w:val="left" w:pos="839"/>
        </w:tabs>
        <w:ind w:left="839" w:hanging="419"/>
      </w:pPr>
      <w:rPr>
        <w:rFonts w:hint="eastAsia" w:ascii="宋体" w:eastAsia="宋体"/>
        <w:b w:val="0"/>
        <w:i w:val="0"/>
        <w:sz w:val="21"/>
      </w:rPr>
    </w:lvl>
    <w:lvl w:ilvl="1" w:tentative="0">
      <w:start w:val="1"/>
      <w:numFmt w:val="decimal"/>
      <w:pStyle w:val="10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6">
    <w:nsid w:val="6DBF04F4"/>
    <w:multiLevelType w:val="multilevel"/>
    <w:tmpl w:val="6DBF04F4"/>
    <w:lvl w:ilvl="0" w:tentative="0">
      <w:start w:val="1"/>
      <w:numFmt w:val="none"/>
      <w:pStyle w:val="7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4"/>
  </w:num>
  <w:num w:numId="2">
    <w:abstractNumId w:val="10"/>
  </w:num>
  <w:num w:numId="3">
    <w:abstractNumId w:val="12"/>
  </w:num>
  <w:num w:numId="4">
    <w:abstractNumId w:val="7"/>
  </w:num>
  <w:num w:numId="5">
    <w:abstractNumId w:val="13"/>
  </w:num>
  <w:num w:numId="6">
    <w:abstractNumId w:val="26"/>
  </w:num>
  <w:num w:numId="7">
    <w:abstractNumId w:val="5"/>
  </w:num>
  <w:num w:numId="8">
    <w:abstractNumId w:val="16"/>
  </w:num>
  <w:num w:numId="9">
    <w:abstractNumId w:val="9"/>
  </w:num>
  <w:num w:numId="10">
    <w:abstractNumId w:val="22"/>
  </w:num>
  <w:num w:numId="11">
    <w:abstractNumId w:val="20"/>
  </w:num>
  <w:num w:numId="12">
    <w:abstractNumId w:val="25"/>
  </w:num>
  <w:num w:numId="13">
    <w:abstractNumId w:val="11"/>
  </w:num>
  <w:num w:numId="14">
    <w:abstractNumId w:val="6"/>
  </w:num>
  <w:num w:numId="15">
    <w:abstractNumId w:val="8"/>
  </w:num>
  <w:num w:numId="16">
    <w:abstractNumId w:val="21"/>
  </w:num>
  <w:num w:numId="17">
    <w:abstractNumId w:val="17"/>
  </w:num>
  <w:num w:numId="18">
    <w:abstractNumId w:val="24"/>
  </w:num>
  <w:num w:numId="19">
    <w:abstractNumId w:val="15"/>
  </w:num>
  <w:num w:numId="20">
    <w:abstractNumId w:val="18"/>
  </w:num>
  <w:num w:numId="21">
    <w:abstractNumId w:val="0"/>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9"/>
  </w:num>
  <w:num w:numId="29">
    <w:abstractNumId w:val="2"/>
  </w:num>
  <w:num w:numId="30">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doNotDisplayPageBoundaries w:val="1"/>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18"/>
    <w:footnote w:id="19"/>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kMDY3MDI5Yzg1ZGZkOTczMmUzNWVlODRkOGM5YTUifQ=="/>
  </w:docVars>
  <w:rsids>
    <w:rsidRoot w:val="00035925"/>
    <w:rsid w:val="00000244"/>
    <w:rsid w:val="000016EA"/>
    <w:rsid w:val="0000185F"/>
    <w:rsid w:val="00003243"/>
    <w:rsid w:val="0000586F"/>
    <w:rsid w:val="00012CCA"/>
    <w:rsid w:val="00013D86"/>
    <w:rsid w:val="00013E02"/>
    <w:rsid w:val="00015D2A"/>
    <w:rsid w:val="00016BB9"/>
    <w:rsid w:val="000179C4"/>
    <w:rsid w:val="00020384"/>
    <w:rsid w:val="0002143C"/>
    <w:rsid w:val="00024A6D"/>
    <w:rsid w:val="00025A65"/>
    <w:rsid w:val="00026C31"/>
    <w:rsid w:val="0002715A"/>
    <w:rsid w:val="00027280"/>
    <w:rsid w:val="000320A7"/>
    <w:rsid w:val="00035925"/>
    <w:rsid w:val="0004007D"/>
    <w:rsid w:val="00041CC4"/>
    <w:rsid w:val="00047A7A"/>
    <w:rsid w:val="000515F3"/>
    <w:rsid w:val="00052E9B"/>
    <w:rsid w:val="00056A17"/>
    <w:rsid w:val="0005794C"/>
    <w:rsid w:val="00061561"/>
    <w:rsid w:val="00062577"/>
    <w:rsid w:val="000650CA"/>
    <w:rsid w:val="00067274"/>
    <w:rsid w:val="00067CDF"/>
    <w:rsid w:val="0007238F"/>
    <w:rsid w:val="0007437D"/>
    <w:rsid w:val="00074673"/>
    <w:rsid w:val="00074FBE"/>
    <w:rsid w:val="0007766D"/>
    <w:rsid w:val="00077928"/>
    <w:rsid w:val="00077ECF"/>
    <w:rsid w:val="0008146A"/>
    <w:rsid w:val="000823E2"/>
    <w:rsid w:val="0008299B"/>
    <w:rsid w:val="00083A09"/>
    <w:rsid w:val="0009005E"/>
    <w:rsid w:val="00092857"/>
    <w:rsid w:val="00094803"/>
    <w:rsid w:val="00095EBE"/>
    <w:rsid w:val="000A1693"/>
    <w:rsid w:val="000A20A9"/>
    <w:rsid w:val="000A48B1"/>
    <w:rsid w:val="000A6709"/>
    <w:rsid w:val="000B3143"/>
    <w:rsid w:val="000B4731"/>
    <w:rsid w:val="000B62A2"/>
    <w:rsid w:val="000B707A"/>
    <w:rsid w:val="000C4E61"/>
    <w:rsid w:val="000C535F"/>
    <w:rsid w:val="000C5AD1"/>
    <w:rsid w:val="000C5D43"/>
    <w:rsid w:val="000C6B05"/>
    <w:rsid w:val="000C6DD6"/>
    <w:rsid w:val="000C73D4"/>
    <w:rsid w:val="000C7645"/>
    <w:rsid w:val="000D3D4C"/>
    <w:rsid w:val="000D4F51"/>
    <w:rsid w:val="000D568C"/>
    <w:rsid w:val="000D718B"/>
    <w:rsid w:val="000D79C1"/>
    <w:rsid w:val="000E0C46"/>
    <w:rsid w:val="000E0F7F"/>
    <w:rsid w:val="000E43C3"/>
    <w:rsid w:val="000E4B45"/>
    <w:rsid w:val="000F030C"/>
    <w:rsid w:val="000F0429"/>
    <w:rsid w:val="000F1125"/>
    <w:rsid w:val="000F129C"/>
    <w:rsid w:val="000F42AF"/>
    <w:rsid w:val="000F70CC"/>
    <w:rsid w:val="00102E33"/>
    <w:rsid w:val="001056DE"/>
    <w:rsid w:val="00111B5D"/>
    <w:rsid w:val="001120DA"/>
    <w:rsid w:val="001124C0"/>
    <w:rsid w:val="001131B4"/>
    <w:rsid w:val="001142F9"/>
    <w:rsid w:val="0012178B"/>
    <w:rsid w:val="001239AF"/>
    <w:rsid w:val="0012727C"/>
    <w:rsid w:val="0013175F"/>
    <w:rsid w:val="00134679"/>
    <w:rsid w:val="001357F3"/>
    <w:rsid w:val="00135AF2"/>
    <w:rsid w:val="00137119"/>
    <w:rsid w:val="001378B5"/>
    <w:rsid w:val="00140D5C"/>
    <w:rsid w:val="0015088C"/>
    <w:rsid w:val="001512B4"/>
    <w:rsid w:val="00153732"/>
    <w:rsid w:val="0015701B"/>
    <w:rsid w:val="00160B35"/>
    <w:rsid w:val="001614CC"/>
    <w:rsid w:val="001620A5"/>
    <w:rsid w:val="0016275D"/>
    <w:rsid w:val="00164E53"/>
    <w:rsid w:val="0016699D"/>
    <w:rsid w:val="00175159"/>
    <w:rsid w:val="0017590D"/>
    <w:rsid w:val="00176208"/>
    <w:rsid w:val="00181C3F"/>
    <w:rsid w:val="0018211B"/>
    <w:rsid w:val="001840D3"/>
    <w:rsid w:val="001900F8"/>
    <w:rsid w:val="00191258"/>
    <w:rsid w:val="00192680"/>
    <w:rsid w:val="00192F82"/>
    <w:rsid w:val="00193037"/>
    <w:rsid w:val="001935F9"/>
    <w:rsid w:val="00193A2C"/>
    <w:rsid w:val="001A288E"/>
    <w:rsid w:val="001A6DBA"/>
    <w:rsid w:val="001B24A9"/>
    <w:rsid w:val="001B359E"/>
    <w:rsid w:val="001B3BFA"/>
    <w:rsid w:val="001B6DC2"/>
    <w:rsid w:val="001C149C"/>
    <w:rsid w:val="001C21AC"/>
    <w:rsid w:val="001C47BA"/>
    <w:rsid w:val="001C51A9"/>
    <w:rsid w:val="001C59EA"/>
    <w:rsid w:val="001C5D75"/>
    <w:rsid w:val="001D2BA9"/>
    <w:rsid w:val="001D38E9"/>
    <w:rsid w:val="001D406C"/>
    <w:rsid w:val="001D41EE"/>
    <w:rsid w:val="001D4882"/>
    <w:rsid w:val="001E0380"/>
    <w:rsid w:val="001E13B1"/>
    <w:rsid w:val="001E19F9"/>
    <w:rsid w:val="001E3114"/>
    <w:rsid w:val="001E5936"/>
    <w:rsid w:val="001F0446"/>
    <w:rsid w:val="001F1909"/>
    <w:rsid w:val="001F369F"/>
    <w:rsid w:val="001F3A19"/>
    <w:rsid w:val="001F40B0"/>
    <w:rsid w:val="002053E4"/>
    <w:rsid w:val="002077FC"/>
    <w:rsid w:val="002165B0"/>
    <w:rsid w:val="00226479"/>
    <w:rsid w:val="00230CC7"/>
    <w:rsid w:val="00234467"/>
    <w:rsid w:val="002370D0"/>
    <w:rsid w:val="00237D8D"/>
    <w:rsid w:val="0024054D"/>
    <w:rsid w:val="00241DA2"/>
    <w:rsid w:val="002428CC"/>
    <w:rsid w:val="002450FB"/>
    <w:rsid w:val="00246E08"/>
    <w:rsid w:val="00247FEE"/>
    <w:rsid w:val="00250E7D"/>
    <w:rsid w:val="0025393D"/>
    <w:rsid w:val="002565D5"/>
    <w:rsid w:val="00256E91"/>
    <w:rsid w:val="00257D97"/>
    <w:rsid w:val="00257E45"/>
    <w:rsid w:val="002622C0"/>
    <w:rsid w:val="002633A9"/>
    <w:rsid w:val="00264BBD"/>
    <w:rsid w:val="00266D5F"/>
    <w:rsid w:val="00272905"/>
    <w:rsid w:val="00275905"/>
    <w:rsid w:val="00276616"/>
    <w:rsid w:val="002778AE"/>
    <w:rsid w:val="00280DFB"/>
    <w:rsid w:val="0028269A"/>
    <w:rsid w:val="00283590"/>
    <w:rsid w:val="00284791"/>
    <w:rsid w:val="00284BAF"/>
    <w:rsid w:val="00285F35"/>
    <w:rsid w:val="00286973"/>
    <w:rsid w:val="00287129"/>
    <w:rsid w:val="002873F1"/>
    <w:rsid w:val="002916E9"/>
    <w:rsid w:val="00292750"/>
    <w:rsid w:val="00294E70"/>
    <w:rsid w:val="002A1924"/>
    <w:rsid w:val="002A2B8B"/>
    <w:rsid w:val="002A59B8"/>
    <w:rsid w:val="002A7420"/>
    <w:rsid w:val="002B0F12"/>
    <w:rsid w:val="002B1308"/>
    <w:rsid w:val="002B4554"/>
    <w:rsid w:val="002B49B3"/>
    <w:rsid w:val="002C1C75"/>
    <w:rsid w:val="002C6781"/>
    <w:rsid w:val="002C719A"/>
    <w:rsid w:val="002C72D8"/>
    <w:rsid w:val="002C7710"/>
    <w:rsid w:val="002D03E7"/>
    <w:rsid w:val="002D11FA"/>
    <w:rsid w:val="002D2AE0"/>
    <w:rsid w:val="002D522D"/>
    <w:rsid w:val="002E0DDF"/>
    <w:rsid w:val="002E0ED3"/>
    <w:rsid w:val="002E126A"/>
    <w:rsid w:val="002E2484"/>
    <w:rsid w:val="002E2906"/>
    <w:rsid w:val="002E4E58"/>
    <w:rsid w:val="002E5635"/>
    <w:rsid w:val="002E64C3"/>
    <w:rsid w:val="002E6A2C"/>
    <w:rsid w:val="002F0E2A"/>
    <w:rsid w:val="002F1753"/>
    <w:rsid w:val="002F19F8"/>
    <w:rsid w:val="002F1D8C"/>
    <w:rsid w:val="002F21DA"/>
    <w:rsid w:val="002F3D05"/>
    <w:rsid w:val="002F67D0"/>
    <w:rsid w:val="002F7541"/>
    <w:rsid w:val="00300CF4"/>
    <w:rsid w:val="00301F39"/>
    <w:rsid w:val="003021EF"/>
    <w:rsid w:val="003056B3"/>
    <w:rsid w:val="00311BA9"/>
    <w:rsid w:val="00313BF8"/>
    <w:rsid w:val="00315D8A"/>
    <w:rsid w:val="00317111"/>
    <w:rsid w:val="00322F24"/>
    <w:rsid w:val="00325926"/>
    <w:rsid w:val="00327A8A"/>
    <w:rsid w:val="00331E9C"/>
    <w:rsid w:val="003325C9"/>
    <w:rsid w:val="003329ED"/>
    <w:rsid w:val="00336610"/>
    <w:rsid w:val="003372E8"/>
    <w:rsid w:val="00343F73"/>
    <w:rsid w:val="00345060"/>
    <w:rsid w:val="00345C6A"/>
    <w:rsid w:val="003475C1"/>
    <w:rsid w:val="00347D39"/>
    <w:rsid w:val="003504F6"/>
    <w:rsid w:val="00350DE1"/>
    <w:rsid w:val="0035323B"/>
    <w:rsid w:val="00353F00"/>
    <w:rsid w:val="003570C8"/>
    <w:rsid w:val="003600E7"/>
    <w:rsid w:val="003609D2"/>
    <w:rsid w:val="003619F0"/>
    <w:rsid w:val="003621B3"/>
    <w:rsid w:val="00362691"/>
    <w:rsid w:val="003629E3"/>
    <w:rsid w:val="00363F22"/>
    <w:rsid w:val="003659D4"/>
    <w:rsid w:val="00367D25"/>
    <w:rsid w:val="00370886"/>
    <w:rsid w:val="00375564"/>
    <w:rsid w:val="0037682A"/>
    <w:rsid w:val="00377D08"/>
    <w:rsid w:val="00380D1C"/>
    <w:rsid w:val="00383191"/>
    <w:rsid w:val="003847EE"/>
    <w:rsid w:val="00386965"/>
    <w:rsid w:val="00386DED"/>
    <w:rsid w:val="00390BDE"/>
    <w:rsid w:val="00390E0C"/>
    <w:rsid w:val="003912E7"/>
    <w:rsid w:val="00393947"/>
    <w:rsid w:val="0039495B"/>
    <w:rsid w:val="00394AD8"/>
    <w:rsid w:val="00394B2B"/>
    <w:rsid w:val="00397278"/>
    <w:rsid w:val="003977F5"/>
    <w:rsid w:val="003A1844"/>
    <w:rsid w:val="003A1D31"/>
    <w:rsid w:val="003A224B"/>
    <w:rsid w:val="003A2275"/>
    <w:rsid w:val="003A6A4F"/>
    <w:rsid w:val="003A7088"/>
    <w:rsid w:val="003A7732"/>
    <w:rsid w:val="003A7B2A"/>
    <w:rsid w:val="003B00DF"/>
    <w:rsid w:val="003B0EA3"/>
    <w:rsid w:val="003B1275"/>
    <w:rsid w:val="003B1778"/>
    <w:rsid w:val="003B2605"/>
    <w:rsid w:val="003B286D"/>
    <w:rsid w:val="003B3590"/>
    <w:rsid w:val="003B4519"/>
    <w:rsid w:val="003C11CB"/>
    <w:rsid w:val="003C5792"/>
    <w:rsid w:val="003C75F3"/>
    <w:rsid w:val="003C78A3"/>
    <w:rsid w:val="003D252E"/>
    <w:rsid w:val="003D285C"/>
    <w:rsid w:val="003D3EFB"/>
    <w:rsid w:val="003E1046"/>
    <w:rsid w:val="003E1867"/>
    <w:rsid w:val="003E44DF"/>
    <w:rsid w:val="003E5729"/>
    <w:rsid w:val="003E6696"/>
    <w:rsid w:val="003F24BD"/>
    <w:rsid w:val="003F4EE0"/>
    <w:rsid w:val="003F6B54"/>
    <w:rsid w:val="0040139F"/>
    <w:rsid w:val="00402153"/>
    <w:rsid w:val="0040282B"/>
    <w:rsid w:val="00402FC1"/>
    <w:rsid w:val="00403CBD"/>
    <w:rsid w:val="00406860"/>
    <w:rsid w:val="00406A6E"/>
    <w:rsid w:val="00407670"/>
    <w:rsid w:val="004109D0"/>
    <w:rsid w:val="00413A56"/>
    <w:rsid w:val="004149DF"/>
    <w:rsid w:val="004216C0"/>
    <w:rsid w:val="00425082"/>
    <w:rsid w:val="00425D85"/>
    <w:rsid w:val="00431DEB"/>
    <w:rsid w:val="00437AA8"/>
    <w:rsid w:val="004453CA"/>
    <w:rsid w:val="004460A3"/>
    <w:rsid w:val="00446B29"/>
    <w:rsid w:val="00446F1E"/>
    <w:rsid w:val="00447EDE"/>
    <w:rsid w:val="00450F48"/>
    <w:rsid w:val="00452F18"/>
    <w:rsid w:val="00453F9A"/>
    <w:rsid w:val="00454CAF"/>
    <w:rsid w:val="004573DF"/>
    <w:rsid w:val="0045763E"/>
    <w:rsid w:val="00462DAE"/>
    <w:rsid w:val="00462FA7"/>
    <w:rsid w:val="00466A3B"/>
    <w:rsid w:val="00470794"/>
    <w:rsid w:val="00470EC6"/>
    <w:rsid w:val="00471E91"/>
    <w:rsid w:val="004731B4"/>
    <w:rsid w:val="00474675"/>
    <w:rsid w:val="004746E5"/>
    <w:rsid w:val="0047470C"/>
    <w:rsid w:val="0048529E"/>
    <w:rsid w:val="004860BC"/>
    <w:rsid w:val="004866F1"/>
    <w:rsid w:val="0049418C"/>
    <w:rsid w:val="004A35F9"/>
    <w:rsid w:val="004A5E6D"/>
    <w:rsid w:val="004A7F10"/>
    <w:rsid w:val="004B0CDE"/>
    <w:rsid w:val="004B24C1"/>
    <w:rsid w:val="004B3547"/>
    <w:rsid w:val="004B43C6"/>
    <w:rsid w:val="004C1367"/>
    <w:rsid w:val="004C1F9A"/>
    <w:rsid w:val="004C23E2"/>
    <w:rsid w:val="004C292F"/>
    <w:rsid w:val="004C38E4"/>
    <w:rsid w:val="004C3D81"/>
    <w:rsid w:val="004D0920"/>
    <w:rsid w:val="004D32C8"/>
    <w:rsid w:val="004D373C"/>
    <w:rsid w:val="004D525F"/>
    <w:rsid w:val="004E55F3"/>
    <w:rsid w:val="004F1AA7"/>
    <w:rsid w:val="004F37CC"/>
    <w:rsid w:val="004F644D"/>
    <w:rsid w:val="004F785B"/>
    <w:rsid w:val="00505D41"/>
    <w:rsid w:val="00510280"/>
    <w:rsid w:val="00512CE8"/>
    <w:rsid w:val="00512FA4"/>
    <w:rsid w:val="0051396C"/>
    <w:rsid w:val="00513D73"/>
    <w:rsid w:val="00514A43"/>
    <w:rsid w:val="0051547D"/>
    <w:rsid w:val="00516C30"/>
    <w:rsid w:val="005174E5"/>
    <w:rsid w:val="00517A42"/>
    <w:rsid w:val="00517AED"/>
    <w:rsid w:val="00520096"/>
    <w:rsid w:val="00522393"/>
    <w:rsid w:val="00522620"/>
    <w:rsid w:val="0052364A"/>
    <w:rsid w:val="005236DE"/>
    <w:rsid w:val="00523F04"/>
    <w:rsid w:val="0052401D"/>
    <w:rsid w:val="00525656"/>
    <w:rsid w:val="00526F75"/>
    <w:rsid w:val="005301C4"/>
    <w:rsid w:val="0053072B"/>
    <w:rsid w:val="00532203"/>
    <w:rsid w:val="005329BC"/>
    <w:rsid w:val="00533BBB"/>
    <w:rsid w:val="00534C02"/>
    <w:rsid w:val="0053725E"/>
    <w:rsid w:val="0053788C"/>
    <w:rsid w:val="005408FF"/>
    <w:rsid w:val="00540A99"/>
    <w:rsid w:val="00542560"/>
    <w:rsid w:val="0054264B"/>
    <w:rsid w:val="00543786"/>
    <w:rsid w:val="005452E4"/>
    <w:rsid w:val="00545D78"/>
    <w:rsid w:val="00546BAF"/>
    <w:rsid w:val="0055092B"/>
    <w:rsid w:val="00551367"/>
    <w:rsid w:val="005533D7"/>
    <w:rsid w:val="005538A4"/>
    <w:rsid w:val="005548C3"/>
    <w:rsid w:val="005550C3"/>
    <w:rsid w:val="005703DE"/>
    <w:rsid w:val="00572022"/>
    <w:rsid w:val="005757CD"/>
    <w:rsid w:val="0057682F"/>
    <w:rsid w:val="00576E76"/>
    <w:rsid w:val="0058464E"/>
    <w:rsid w:val="00584A23"/>
    <w:rsid w:val="00590CF8"/>
    <w:rsid w:val="0059409F"/>
    <w:rsid w:val="005958E3"/>
    <w:rsid w:val="00595ABF"/>
    <w:rsid w:val="00595B3E"/>
    <w:rsid w:val="0059720E"/>
    <w:rsid w:val="00597EDF"/>
    <w:rsid w:val="005A01CB"/>
    <w:rsid w:val="005A0CA2"/>
    <w:rsid w:val="005A334D"/>
    <w:rsid w:val="005A373E"/>
    <w:rsid w:val="005A3F84"/>
    <w:rsid w:val="005A58FF"/>
    <w:rsid w:val="005A5EAF"/>
    <w:rsid w:val="005A640C"/>
    <w:rsid w:val="005A64C0"/>
    <w:rsid w:val="005A650A"/>
    <w:rsid w:val="005A65A4"/>
    <w:rsid w:val="005A710D"/>
    <w:rsid w:val="005B14A3"/>
    <w:rsid w:val="005B3C11"/>
    <w:rsid w:val="005C052A"/>
    <w:rsid w:val="005C1C28"/>
    <w:rsid w:val="005C251F"/>
    <w:rsid w:val="005C538E"/>
    <w:rsid w:val="005C6DB5"/>
    <w:rsid w:val="005C7F05"/>
    <w:rsid w:val="005D0D9B"/>
    <w:rsid w:val="005D6110"/>
    <w:rsid w:val="005E0AC5"/>
    <w:rsid w:val="005E19E7"/>
    <w:rsid w:val="005E610F"/>
    <w:rsid w:val="00601A57"/>
    <w:rsid w:val="00603FB5"/>
    <w:rsid w:val="0060605A"/>
    <w:rsid w:val="00607BC6"/>
    <w:rsid w:val="00611A4C"/>
    <w:rsid w:val="00615513"/>
    <w:rsid w:val="0061716C"/>
    <w:rsid w:val="006213BA"/>
    <w:rsid w:val="00621CBE"/>
    <w:rsid w:val="0062281E"/>
    <w:rsid w:val="006243A1"/>
    <w:rsid w:val="006261CB"/>
    <w:rsid w:val="006279BC"/>
    <w:rsid w:val="00630B03"/>
    <w:rsid w:val="00631218"/>
    <w:rsid w:val="00631C3C"/>
    <w:rsid w:val="00632E56"/>
    <w:rsid w:val="006356EA"/>
    <w:rsid w:val="00635CBA"/>
    <w:rsid w:val="00636672"/>
    <w:rsid w:val="00641221"/>
    <w:rsid w:val="00642F23"/>
    <w:rsid w:val="0064338B"/>
    <w:rsid w:val="00644749"/>
    <w:rsid w:val="00646542"/>
    <w:rsid w:val="006504F4"/>
    <w:rsid w:val="00654BC9"/>
    <w:rsid w:val="00654E80"/>
    <w:rsid w:val="006552FD"/>
    <w:rsid w:val="00660C4F"/>
    <w:rsid w:val="0066212B"/>
    <w:rsid w:val="006621E4"/>
    <w:rsid w:val="00663AF3"/>
    <w:rsid w:val="00666B6C"/>
    <w:rsid w:val="0067013F"/>
    <w:rsid w:val="0067045E"/>
    <w:rsid w:val="0067087D"/>
    <w:rsid w:val="00671DA5"/>
    <w:rsid w:val="00676110"/>
    <w:rsid w:val="00682682"/>
    <w:rsid w:val="00682702"/>
    <w:rsid w:val="00692368"/>
    <w:rsid w:val="00692608"/>
    <w:rsid w:val="00693E83"/>
    <w:rsid w:val="00695019"/>
    <w:rsid w:val="006956BF"/>
    <w:rsid w:val="006A2781"/>
    <w:rsid w:val="006A2EBC"/>
    <w:rsid w:val="006A413E"/>
    <w:rsid w:val="006A5C14"/>
    <w:rsid w:val="006A5EA0"/>
    <w:rsid w:val="006A783B"/>
    <w:rsid w:val="006A7B33"/>
    <w:rsid w:val="006B0CBB"/>
    <w:rsid w:val="006B1372"/>
    <w:rsid w:val="006B1462"/>
    <w:rsid w:val="006B3DE1"/>
    <w:rsid w:val="006B3E9B"/>
    <w:rsid w:val="006B3EBC"/>
    <w:rsid w:val="006B4E13"/>
    <w:rsid w:val="006B6CCC"/>
    <w:rsid w:val="006B75DD"/>
    <w:rsid w:val="006C67E0"/>
    <w:rsid w:val="006C7ABA"/>
    <w:rsid w:val="006D05AA"/>
    <w:rsid w:val="006D0D60"/>
    <w:rsid w:val="006D1122"/>
    <w:rsid w:val="006D3C00"/>
    <w:rsid w:val="006D47A4"/>
    <w:rsid w:val="006D5308"/>
    <w:rsid w:val="006E3675"/>
    <w:rsid w:val="006E3A91"/>
    <w:rsid w:val="006E4A7F"/>
    <w:rsid w:val="006E5EC5"/>
    <w:rsid w:val="006F07DB"/>
    <w:rsid w:val="006F16F1"/>
    <w:rsid w:val="006F5F1B"/>
    <w:rsid w:val="006F7099"/>
    <w:rsid w:val="0070008A"/>
    <w:rsid w:val="00702668"/>
    <w:rsid w:val="00702CF1"/>
    <w:rsid w:val="00704DF6"/>
    <w:rsid w:val="0070651C"/>
    <w:rsid w:val="007132A3"/>
    <w:rsid w:val="00716421"/>
    <w:rsid w:val="007201CB"/>
    <w:rsid w:val="00722B9D"/>
    <w:rsid w:val="00724EFB"/>
    <w:rsid w:val="00725B27"/>
    <w:rsid w:val="007277E0"/>
    <w:rsid w:val="0073004B"/>
    <w:rsid w:val="0073520E"/>
    <w:rsid w:val="0073730F"/>
    <w:rsid w:val="007419C3"/>
    <w:rsid w:val="007432D4"/>
    <w:rsid w:val="00743979"/>
    <w:rsid w:val="0074577E"/>
    <w:rsid w:val="007467A7"/>
    <w:rsid w:val="007469DD"/>
    <w:rsid w:val="0074741B"/>
    <w:rsid w:val="0074759E"/>
    <w:rsid w:val="007478EA"/>
    <w:rsid w:val="00753B6F"/>
    <w:rsid w:val="0075415C"/>
    <w:rsid w:val="00756A6B"/>
    <w:rsid w:val="00763502"/>
    <w:rsid w:val="007672B5"/>
    <w:rsid w:val="007720B3"/>
    <w:rsid w:val="007746E0"/>
    <w:rsid w:val="0077731D"/>
    <w:rsid w:val="007811BA"/>
    <w:rsid w:val="007811FF"/>
    <w:rsid w:val="007913AB"/>
    <w:rsid w:val="007914F7"/>
    <w:rsid w:val="0079706A"/>
    <w:rsid w:val="007A3E9D"/>
    <w:rsid w:val="007B0E4A"/>
    <w:rsid w:val="007B161C"/>
    <w:rsid w:val="007B1625"/>
    <w:rsid w:val="007B3B22"/>
    <w:rsid w:val="007B5D2E"/>
    <w:rsid w:val="007B706E"/>
    <w:rsid w:val="007B71EB"/>
    <w:rsid w:val="007C6205"/>
    <w:rsid w:val="007C63E9"/>
    <w:rsid w:val="007C686A"/>
    <w:rsid w:val="007C728E"/>
    <w:rsid w:val="007C7C6F"/>
    <w:rsid w:val="007D20E0"/>
    <w:rsid w:val="007D269D"/>
    <w:rsid w:val="007D2C53"/>
    <w:rsid w:val="007D3D60"/>
    <w:rsid w:val="007D5565"/>
    <w:rsid w:val="007E1980"/>
    <w:rsid w:val="007E4B76"/>
    <w:rsid w:val="007E5EA8"/>
    <w:rsid w:val="007F0CF1"/>
    <w:rsid w:val="007F12A5"/>
    <w:rsid w:val="007F1B2E"/>
    <w:rsid w:val="007F4CF1"/>
    <w:rsid w:val="007F758D"/>
    <w:rsid w:val="007F7D52"/>
    <w:rsid w:val="00803575"/>
    <w:rsid w:val="0080654C"/>
    <w:rsid w:val="008071C6"/>
    <w:rsid w:val="00807C1F"/>
    <w:rsid w:val="00812265"/>
    <w:rsid w:val="008179BF"/>
    <w:rsid w:val="00817A00"/>
    <w:rsid w:val="00833C66"/>
    <w:rsid w:val="00835D0D"/>
    <w:rsid w:val="00835DB3"/>
    <w:rsid w:val="00836120"/>
    <w:rsid w:val="0083617B"/>
    <w:rsid w:val="008371BD"/>
    <w:rsid w:val="0084397C"/>
    <w:rsid w:val="008504A8"/>
    <w:rsid w:val="00852033"/>
    <w:rsid w:val="0085282E"/>
    <w:rsid w:val="008539F0"/>
    <w:rsid w:val="008616A0"/>
    <w:rsid w:val="00862ADA"/>
    <w:rsid w:val="0086326E"/>
    <w:rsid w:val="00865F84"/>
    <w:rsid w:val="00866230"/>
    <w:rsid w:val="008702FB"/>
    <w:rsid w:val="0087198C"/>
    <w:rsid w:val="00872C1F"/>
    <w:rsid w:val="00873472"/>
    <w:rsid w:val="00873B42"/>
    <w:rsid w:val="00880FD8"/>
    <w:rsid w:val="008856D8"/>
    <w:rsid w:val="00885AAF"/>
    <w:rsid w:val="00885D98"/>
    <w:rsid w:val="00886764"/>
    <w:rsid w:val="00887AD5"/>
    <w:rsid w:val="008920BC"/>
    <w:rsid w:val="00892E82"/>
    <w:rsid w:val="00897B7B"/>
    <w:rsid w:val="00897C49"/>
    <w:rsid w:val="008A4914"/>
    <w:rsid w:val="008B0D11"/>
    <w:rsid w:val="008C02F0"/>
    <w:rsid w:val="008C1B58"/>
    <w:rsid w:val="008C364E"/>
    <w:rsid w:val="008C39AE"/>
    <w:rsid w:val="008C5470"/>
    <w:rsid w:val="008C590D"/>
    <w:rsid w:val="008C6A64"/>
    <w:rsid w:val="008C7E73"/>
    <w:rsid w:val="008D4D08"/>
    <w:rsid w:val="008D58FC"/>
    <w:rsid w:val="008E031B"/>
    <w:rsid w:val="008E1A5D"/>
    <w:rsid w:val="008E2DC3"/>
    <w:rsid w:val="008E51B2"/>
    <w:rsid w:val="008E7029"/>
    <w:rsid w:val="008E7EF6"/>
    <w:rsid w:val="008F0CD9"/>
    <w:rsid w:val="008F14E9"/>
    <w:rsid w:val="008F1F98"/>
    <w:rsid w:val="008F4D9F"/>
    <w:rsid w:val="008F4E26"/>
    <w:rsid w:val="008F4F02"/>
    <w:rsid w:val="008F6758"/>
    <w:rsid w:val="009024C7"/>
    <w:rsid w:val="009040DD"/>
    <w:rsid w:val="0090417C"/>
    <w:rsid w:val="00904412"/>
    <w:rsid w:val="00904654"/>
    <w:rsid w:val="00905B47"/>
    <w:rsid w:val="00906BD6"/>
    <w:rsid w:val="00906E13"/>
    <w:rsid w:val="009100F0"/>
    <w:rsid w:val="00911807"/>
    <w:rsid w:val="0091331C"/>
    <w:rsid w:val="00921C82"/>
    <w:rsid w:val="0092340E"/>
    <w:rsid w:val="00925114"/>
    <w:rsid w:val="009279DE"/>
    <w:rsid w:val="00927A59"/>
    <w:rsid w:val="00930116"/>
    <w:rsid w:val="00931112"/>
    <w:rsid w:val="00940C9C"/>
    <w:rsid w:val="0094212C"/>
    <w:rsid w:val="00944664"/>
    <w:rsid w:val="00944BFE"/>
    <w:rsid w:val="00950291"/>
    <w:rsid w:val="00954689"/>
    <w:rsid w:val="00954D53"/>
    <w:rsid w:val="009617C9"/>
    <w:rsid w:val="009618EB"/>
    <w:rsid w:val="00961C93"/>
    <w:rsid w:val="00964925"/>
    <w:rsid w:val="00965324"/>
    <w:rsid w:val="00965BF7"/>
    <w:rsid w:val="009671FA"/>
    <w:rsid w:val="0097091E"/>
    <w:rsid w:val="00970D3F"/>
    <w:rsid w:val="0097323A"/>
    <w:rsid w:val="009760D3"/>
    <w:rsid w:val="00977132"/>
    <w:rsid w:val="00977DAC"/>
    <w:rsid w:val="0098000C"/>
    <w:rsid w:val="00981A4B"/>
    <w:rsid w:val="00982501"/>
    <w:rsid w:val="009846CC"/>
    <w:rsid w:val="009877D3"/>
    <w:rsid w:val="0099076B"/>
    <w:rsid w:val="009908DE"/>
    <w:rsid w:val="00992A89"/>
    <w:rsid w:val="00994E8F"/>
    <w:rsid w:val="009951DC"/>
    <w:rsid w:val="00995980"/>
    <w:rsid w:val="009959BB"/>
    <w:rsid w:val="0099668B"/>
    <w:rsid w:val="00997158"/>
    <w:rsid w:val="009A35AD"/>
    <w:rsid w:val="009A3A7C"/>
    <w:rsid w:val="009A6D91"/>
    <w:rsid w:val="009B069E"/>
    <w:rsid w:val="009B23F6"/>
    <w:rsid w:val="009B2ADB"/>
    <w:rsid w:val="009B32BF"/>
    <w:rsid w:val="009B3CDA"/>
    <w:rsid w:val="009B603A"/>
    <w:rsid w:val="009B604D"/>
    <w:rsid w:val="009C2D0E"/>
    <w:rsid w:val="009C3CD0"/>
    <w:rsid w:val="009C3DAC"/>
    <w:rsid w:val="009C3F23"/>
    <w:rsid w:val="009C42E0"/>
    <w:rsid w:val="009C4F18"/>
    <w:rsid w:val="009C5432"/>
    <w:rsid w:val="009C5CF2"/>
    <w:rsid w:val="009C660F"/>
    <w:rsid w:val="009D20FD"/>
    <w:rsid w:val="009D5362"/>
    <w:rsid w:val="009E1415"/>
    <w:rsid w:val="009E4E71"/>
    <w:rsid w:val="009E6116"/>
    <w:rsid w:val="009F0C39"/>
    <w:rsid w:val="009F37A4"/>
    <w:rsid w:val="009F77C1"/>
    <w:rsid w:val="00A02E43"/>
    <w:rsid w:val="00A03A1A"/>
    <w:rsid w:val="00A04839"/>
    <w:rsid w:val="00A065F9"/>
    <w:rsid w:val="00A07F34"/>
    <w:rsid w:val="00A1215D"/>
    <w:rsid w:val="00A12731"/>
    <w:rsid w:val="00A13BDF"/>
    <w:rsid w:val="00A15DE9"/>
    <w:rsid w:val="00A17286"/>
    <w:rsid w:val="00A2033B"/>
    <w:rsid w:val="00A22154"/>
    <w:rsid w:val="00A22E84"/>
    <w:rsid w:val="00A2438C"/>
    <w:rsid w:val="00A24EBF"/>
    <w:rsid w:val="00A25C38"/>
    <w:rsid w:val="00A27BA6"/>
    <w:rsid w:val="00A302B2"/>
    <w:rsid w:val="00A31297"/>
    <w:rsid w:val="00A33482"/>
    <w:rsid w:val="00A34BE2"/>
    <w:rsid w:val="00A34D6E"/>
    <w:rsid w:val="00A36BBE"/>
    <w:rsid w:val="00A37F1A"/>
    <w:rsid w:val="00A4307A"/>
    <w:rsid w:val="00A446E8"/>
    <w:rsid w:val="00A46CA0"/>
    <w:rsid w:val="00A47EBB"/>
    <w:rsid w:val="00A51CDD"/>
    <w:rsid w:val="00A5446E"/>
    <w:rsid w:val="00A5469B"/>
    <w:rsid w:val="00A60BF2"/>
    <w:rsid w:val="00A61CA5"/>
    <w:rsid w:val="00A62FD1"/>
    <w:rsid w:val="00A65917"/>
    <w:rsid w:val="00A6688B"/>
    <w:rsid w:val="00A6730D"/>
    <w:rsid w:val="00A71625"/>
    <w:rsid w:val="00A71B9B"/>
    <w:rsid w:val="00A726C4"/>
    <w:rsid w:val="00A751C7"/>
    <w:rsid w:val="00A75AEF"/>
    <w:rsid w:val="00A77712"/>
    <w:rsid w:val="00A80160"/>
    <w:rsid w:val="00A87844"/>
    <w:rsid w:val="00A90C8A"/>
    <w:rsid w:val="00A91FA0"/>
    <w:rsid w:val="00A94582"/>
    <w:rsid w:val="00A95910"/>
    <w:rsid w:val="00A97178"/>
    <w:rsid w:val="00AA038C"/>
    <w:rsid w:val="00AA2BA6"/>
    <w:rsid w:val="00AA40C6"/>
    <w:rsid w:val="00AA4F28"/>
    <w:rsid w:val="00AA5835"/>
    <w:rsid w:val="00AA6DD8"/>
    <w:rsid w:val="00AA7A09"/>
    <w:rsid w:val="00AB0825"/>
    <w:rsid w:val="00AB1945"/>
    <w:rsid w:val="00AB306B"/>
    <w:rsid w:val="00AB3B50"/>
    <w:rsid w:val="00AB4538"/>
    <w:rsid w:val="00AB4E59"/>
    <w:rsid w:val="00AB5F36"/>
    <w:rsid w:val="00AB60DC"/>
    <w:rsid w:val="00AC05B1"/>
    <w:rsid w:val="00AC7BC3"/>
    <w:rsid w:val="00AC7F56"/>
    <w:rsid w:val="00AD083C"/>
    <w:rsid w:val="00AD356C"/>
    <w:rsid w:val="00AD56DB"/>
    <w:rsid w:val="00AD5893"/>
    <w:rsid w:val="00AD750F"/>
    <w:rsid w:val="00AE00BF"/>
    <w:rsid w:val="00AE0E43"/>
    <w:rsid w:val="00AE2914"/>
    <w:rsid w:val="00AE6D15"/>
    <w:rsid w:val="00AF23F4"/>
    <w:rsid w:val="00AF5F10"/>
    <w:rsid w:val="00B004F6"/>
    <w:rsid w:val="00B03A29"/>
    <w:rsid w:val="00B04182"/>
    <w:rsid w:val="00B0635B"/>
    <w:rsid w:val="00B07AE3"/>
    <w:rsid w:val="00B11430"/>
    <w:rsid w:val="00B150D8"/>
    <w:rsid w:val="00B23A73"/>
    <w:rsid w:val="00B24430"/>
    <w:rsid w:val="00B3014D"/>
    <w:rsid w:val="00B33E3E"/>
    <w:rsid w:val="00B353EB"/>
    <w:rsid w:val="00B36617"/>
    <w:rsid w:val="00B36AEC"/>
    <w:rsid w:val="00B36C83"/>
    <w:rsid w:val="00B37ACB"/>
    <w:rsid w:val="00B439C4"/>
    <w:rsid w:val="00B4486F"/>
    <w:rsid w:val="00B4535E"/>
    <w:rsid w:val="00B52A8C"/>
    <w:rsid w:val="00B54AFE"/>
    <w:rsid w:val="00B54CED"/>
    <w:rsid w:val="00B636A8"/>
    <w:rsid w:val="00B65F2A"/>
    <w:rsid w:val="00B665C6"/>
    <w:rsid w:val="00B70B70"/>
    <w:rsid w:val="00B750C0"/>
    <w:rsid w:val="00B76237"/>
    <w:rsid w:val="00B805AF"/>
    <w:rsid w:val="00B80B14"/>
    <w:rsid w:val="00B83B41"/>
    <w:rsid w:val="00B869EC"/>
    <w:rsid w:val="00B91E3B"/>
    <w:rsid w:val="00B9288A"/>
    <w:rsid w:val="00B9397A"/>
    <w:rsid w:val="00B9445C"/>
    <w:rsid w:val="00B9633D"/>
    <w:rsid w:val="00B96C09"/>
    <w:rsid w:val="00B970DB"/>
    <w:rsid w:val="00B97D36"/>
    <w:rsid w:val="00B97F89"/>
    <w:rsid w:val="00B97FBF"/>
    <w:rsid w:val="00BA0FA1"/>
    <w:rsid w:val="00BA2EBE"/>
    <w:rsid w:val="00BA71FA"/>
    <w:rsid w:val="00BB0F28"/>
    <w:rsid w:val="00BB458A"/>
    <w:rsid w:val="00BB6081"/>
    <w:rsid w:val="00BC5CFE"/>
    <w:rsid w:val="00BC7281"/>
    <w:rsid w:val="00BD00D3"/>
    <w:rsid w:val="00BD059D"/>
    <w:rsid w:val="00BD1659"/>
    <w:rsid w:val="00BD2E93"/>
    <w:rsid w:val="00BD3AA9"/>
    <w:rsid w:val="00BD4216"/>
    <w:rsid w:val="00BD44CB"/>
    <w:rsid w:val="00BD45A2"/>
    <w:rsid w:val="00BD4A18"/>
    <w:rsid w:val="00BD6DB2"/>
    <w:rsid w:val="00BE11CF"/>
    <w:rsid w:val="00BE21AB"/>
    <w:rsid w:val="00BE5430"/>
    <w:rsid w:val="00BE55CB"/>
    <w:rsid w:val="00BE6F92"/>
    <w:rsid w:val="00BF617A"/>
    <w:rsid w:val="00C02B69"/>
    <w:rsid w:val="00C0379D"/>
    <w:rsid w:val="00C03931"/>
    <w:rsid w:val="00C0473D"/>
    <w:rsid w:val="00C04EC7"/>
    <w:rsid w:val="00C05FE3"/>
    <w:rsid w:val="00C12D50"/>
    <w:rsid w:val="00C15609"/>
    <w:rsid w:val="00C2136D"/>
    <w:rsid w:val="00C214EE"/>
    <w:rsid w:val="00C21B88"/>
    <w:rsid w:val="00C2314B"/>
    <w:rsid w:val="00C24971"/>
    <w:rsid w:val="00C2669A"/>
    <w:rsid w:val="00C26BE5"/>
    <w:rsid w:val="00C26E4D"/>
    <w:rsid w:val="00C27909"/>
    <w:rsid w:val="00C27B03"/>
    <w:rsid w:val="00C314E1"/>
    <w:rsid w:val="00C34397"/>
    <w:rsid w:val="00C3451C"/>
    <w:rsid w:val="00C4095D"/>
    <w:rsid w:val="00C45ED3"/>
    <w:rsid w:val="00C5121D"/>
    <w:rsid w:val="00C52DF2"/>
    <w:rsid w:val="00C55E0C"/>
    <w:rsid w:val="00C56541"/>
    <w:rsid w:val="00C601D2"/>
    <w:rsid w:val="00C61076"/>
    <w:rsid w:val="00C62C77"/>
    <w:rsid w:val="00C63444"/>
    <w:rsid w:val="00C645A8"/>
    <w:rsid w:val="00C657AB"/>
    <w:rsid w:val="00C65BCC"/>
    <w:rsid w:val="00C66970"/>
    <w:rsid w:val="00C67F5A"/>
    <w:rsid w:val="00C73DE7"/>
    <w:rsid w:val="00C745C9"/>
    <w:rsid w:val="00C751B3"/>
    <w:rsid w:val="00C7646F"/>
    <w:rsid w:val="00C76963"/>
    <w:rsid w:val="00C8068D"/>
    <w:rsid w:val="00C81FA7"/>
    <w:rsid w:val="00C82536"/>
    <w:rsid w:val="00C846B3"/>
    <w:rsid w:val="00C8669D"/>
    <w:rsid w:val="00C8691C"/>
    <w:rsid w:val="00C92CB4"/>
    <w:rsid w:val="00C9500D"/>
    <w:rsid w:val="00C976AF"/>
    <w:rsid w:val="00CA168A"/>
    <w:rsid w:val="00CA357E"/>
    <w:rsid w:val="00CA3C2D"/>
    <w:rsid w:val="00CA44F9"/>
    <w:rsid w:val="00CA4A69"/>
    <w:rsid w:val="00CB0505"/>
    <w:rsid w:val="00CB0E91"/>
    <w:rsid w:val="00CB157C"/>
    <w:rsid w:val="00CB1FF5"/>
    <w:rsid w:val="00CB21C9"/>
    <w:rsid w:val="00CC10B0"/>
    <w:rsid w:val="00CC13E2"/>
    <w:rsid w:val="00CC3E0C"/>
    <w:rsid w:val="00CC58D3"/>
    <w:rsid w:val="00CC784D"/>
    <w:rsid w:val="00CD42D4"/>
    <w:rsid w:val="00CD510D"/>
    <w:rsid w:val="00CE163B"/>
    <w:rsid w:val="00CE3796"/>
    <w:rsid w:val="00CE458A"/>
    <w:rsid w:val="00CE5A75"/>
    <w:rsid w:val="00CE609A"/>
    <w:rsid w:val="00CE6FE3"/>
    <w:rsid w:val="00CF044D"/>
    <w:rsid w:val="00CF1FEF"/>
    <w:rsid w:val="00CF2A14"/>
    <w:rsid w:val="00CF3634"/>
    <w:rsid w:val="00CF5733"/>
    <w:rsid w:val="00D023A0"/>
    <w:rsid w:val="00D0337B"/>
    <w:rsid w:val="00D079B2"/>
    <w:rsid w:val="00D100B8"/>
    <w:rsid w:val="00D11427"/>
    <w:rsid w:val="00D114E9"/>
    <w:rsid w:val="00D154B1"/>
    <w:rsid w:val="00D22984"/>
    <w:rsid w:val="00D25150"/>
    <w:rsid w:val="00D32337"/>
    <w:rsid w:val="00D36B7A"/>
    <w:rsid w:val="00D424FC"/>
    <w:rsid w:val="00D4268B"/>
    <w:rsid w:val="00D42824"/>
    <w:rsid w:val="00D429C6"/>
    <w:rsid w:val="00D44CE7"/>
    <w:rsid w:val="00D46A00"/>
    <w:rsid w:val="00D47748"/>
    <w:rsid w:val="00D5089B"/>
    <w:rsid w:val="00D54CC3"/>
    <w:rsid w:val="00D55489"/>
    <w:rsid w:val="00D55D52"/>
    <w:rsid w:val="00D57264"/>
    <w:rsid w:val="00D603F6"/>
    <w:rsid w:val="00D6041A"/>
    <w:rsid w:val="00D633EB"/>
    <w:rsid w:val="00D6438E"/>
    <w:rsid w:val="00D677C9"/>
    <w:rsid w:val="00D70D5C"/>
    <w:rsid w:val="00D76DA7"/>
    <w:rsid w:val="00D812F6"/>
    <w:rsid w:val="00D81DD4"/>
    <w:rsid w:val="00D82FF7"/>
    <w:rsid w:val="00D84616"/>
    <w:rsid w:val="00D847FE"/>
    <w:rsid w:val="00D912C2"/>
    <w:rsid w:val="00D9466D"/>
    <w:rsid w:val="00D964EA"/>
    <w:rsid w:val="00D966D0"/>
    <w:rsid w:val="00D96BB7"/>
    <w:rsid w:val="00DA0C59"/>
    <w:rsid w:val="00DA1894"/>
    <w:rsid w:val="00DA3991"/>
    <w:rsid w:val="00DA5768"/>
    <w:rsid w:val="00DA5C71"/>
    <w:rsid w:val="00DB28BB"/>
    <w:rsid w:val="00DB7E32"/>
    <w:rsid w:val="00DB7E6C"/>
    <w:rsid w:val="00DC0A74"/>
    <w:rsid w:val="00DC18A2"/>
    <w:rsid w:val="00DC5349"/>
    <w:rsid w:val="00DD468A"/>
    <w:rsid w:val="00DD5146"/>
    <w:rsid w:val="00DD5A29"/>
    <w:rsid w:val="00DD5D9D"/>
    <w:rsid w:val="00DD62D9"/>
    <w:rsid w:val="00DD738D"/>
    <w:rsid w:val="00DE25CE"/>
    <w:rsid w:val="00DE31BD"/>
    <w:rsid w:val="00DE3338"/>
    <w:rsid w:val="00DE33B6"/>
    <w:rsid w:val="00DE35CB"/>
    <w:rsid w:val="00DE52CC"/>
    <w:rsid w:val="00DF21E9"/>
    <w:rsid w:val="00DF2BC7"/>
    <w:rsid w:val="00DF4D67"/>
    <w:rsid w:val="00E009A9"/>
    <w:rsid w:val="00E00F14"/>
    <w:rsid w:val="00E01BCE"/>
    <w:rsid w:val="00E02775"/>
    <w:rsid w:val="00E035E7"/>
    <w:rsid w:val="00E040FB"/>
    <w:rsid w:val="00E05324"/>
    <w:rsid w:val="00E06386"/>
    <w:rsid w:val="00E07162"/>
    <w:rsid w:val="00E12979"/>
    <w:rsid w:val="00E14AAF"/>
    <w:rsid w:val="00E172E4"/>
    <w:rsid w:val="00E17825"/>
    <w:rsid w:val="00E225BD"/>
    <w:rsid w:val="00E24EB4"/>
    <w:rsid w:val="00E26700"/>
    <w:rsid w:val="00E267EB"/>
    <w:rsid w:val="00E320ED"/>
    <w:rsid w:val="00E32408"/>
    <w:rsid w:val="00E33810"/>
    <w:rsid w:val="00E33AFB"/>
    <w:rsid w:val="00E34218"/>
    <w:rsid w:val="00E35BB5"/>
    <w:rsid w:val="00E36447"/>
    <w:rsid w:val="00E437A6"/>
    <w:rsid w:val="00E45756"/>
    <w:rsid w:val="00E46282"/>
    <w:rsid w:val="00E50980"/>
    <w:rsid w:val="00E5216E"/>
    <w:rsid w:val="00E53B54"/>
    <w:rsid w:val="00E62BD8"/>
    <w:rsid w:val="00E6562A"/>
    <w:rsid w:val="00E66CED"/>
    <w:rsid w:val="00E70905"/>
    <w:rsid w:val="00E70A12"/>
    <w:rsid w:val="00E73982"/>
    <w:rsid w:val="00E73B86"/>
    <w:rsid w:val="00E73CDB"/>
    <w:rsid w:val="00E77940"/>
    <w:rsid w:val="00E82344"/>
    <w:rsid w:val="00E82CA4"/>
    <w:rsid w:val="00E84C82"/>
    <w:rsid w:val="00E84D64"/>
    <w:rsid w:val="00E84F97"/>
    <w:rsid w:val="00E8555D"/>
    <w:rsid w:val="00E86CB6"/>
    <w:rsid w:val="00E86D88"/>
    <w:rsid w:val="00E87408"/>
    <w:rsid w:val="00E914C4"/>
    <w:rsid w:val="00E914E9"/>
    <w:rsid w:val="00E91B79"/>
    <w:rsid w:val="00E93248"/>
    <w:rsid w:val="00E934F5"/>
    <w:rsid w:val="00E93C3A"/>
    <w:rsid w:val="00E947AD"/>
    <w:rsid w:val="00E95D91"/>
    <w:rsid w:val="00E96961"/>
    <w:rsid w:val="00E96B70"/>
    <w:rsid w:val="00EA2FB4"/>
    <w:rsid w:val="00EA4D4A"/>
    <w:rsid w:val="00EA72EC"/>
    <w:rsid w:val="00EB11CB"/>
    <w:rsid w:val="00EB1BE2"/>
    <w:rsid w:val="00EB1FDE"/>
    <w:rsid w:val="00EB275A"/>
    <w:rsid w:val="00EB786A"/>
    <w:rsid w:val="00EC1578"/>
    <w:rsid w:val="00EC1C72"/>
    <w:rsid w:val="00EC3990"/>
    <w:rsid w:val="00EC3CC9"/>
    <w:rsid w:val="00EC5A7A"/>
    <w:rsid w:val="00EC680A"/>
    <w:rsid w:val="00ED24AB"/>
    <w:rsid w:val="00ED291D"/>
    <w:rsid w:val="00ED4719"/>
    <w:rsid w:val="00ED4737"/>
    <w:rsid w:val="00ED4ABC"/>
    <w:rsid w:val="00EE1A4E"/>
    <w:rsid w:val="00EE1AA5"/>
    <w:rsid w:val="00EE2BED"/>
    <w:rsid w:val="00EE374B"/>
    <w:rsid w:val="00EE678E"/>
    <w:rsid w:val="00EF4297"/>
    <w:rsid w:val="00EF5EAA"/>
    <w:rsid w:val="00EF7E85"/>
    <w:rsid w:val="00F00156"/>
    <w:rsid w:val="00F05BCF"/>
    <w:rsid w:val="00F063E1"/>
    <w:rsid w:val="00F07CC8"/>
    <w:rsid w:val="00F11BB5"/>
    <w:rsid w:val="00F1417B"/>
    <w:rsid w:val="00F20050"/>
    <w:rsid w:val="00F2009C"/>
    <w:rsid w:val="00F20341"/>
    <w:rsid w:val="00F22D1F"/>
    <w:rsid w:val="00F257B5"/>
    <w:rsid w:val="00F307B4"/>
    <w:rsid w:val="00F342EE"/>
    <w:rsid w:val="00F34B99"/>
    <w:rsid w:val="00F35303"/>
    <w:rsid w:val="00F36D08"/>
    <w:rsid w:val="00F408A4"/>
    <w:rsid w:val="00F4119F"/>
    <w:rsid w:val="00F43FE2"/>
    <w:rsid w:val="00F444D4"/>
    <w:rsid w:val="00F47D2C"/>
    <w:rsid w:val="00F52DAB"/>
    <w:rsid w:val="00F54129"/>
    <w:rsid w:val="00F543F0"/>
    <w:rsid w:val="00F55500"/>
    <w:rsid w:val="00F55E35"/>
    <w:rsid w:val="00F60075"/>
    <w:rsid w:val="00F60091"/>
    <w:rsid w:val="00F70266"/>
    <w:rsid w:val="00F71B98"/>
    <w:rsid w:val="00F7360D"/>
    <w:rsid w:val="00F81D29"/>
    <w:rsid w:val="00F8398A"/>
    <w:rsid w:val="00F83D42"/>
    <w:rsid w:val="00F8459A"/>
    <w:rsid w:val="00F8696D"/>
    <w:rsid w:val="00F91C4D"/>
    <w:rsid w:val="00F92FD9"/>
    <w:rsid w:val="00F94250"/>
    <w:rsid w:val="00FA132B"/>
    <w:rsid w:val="00FA54A2"/>
    <w:rsid w:val="00FA5CC4"/>
    <w:rsid w:val="00FA5FCB"/>
    <w:rsid w:val="00FA6684"/>
    <w:rsid w:val="00FA731E"/>
    <w:rsid w:val="00FB1C20"/>
    <w:rsid w:val="00FB2316"/>
    <w:rsid w:val="00FB2B38"/>
    <w:rsid w:val="00FB3423"/>
    <w:rsid w:val="00FB3726"/>
    <w:rsid w:val="00FB59AB"/>
    <w:rsid w:val="00FB68C1"/>
    <w:rsid w:val="00FB6EBD"/>
    <w:rsid w:val="00FB7492"/>
    <w:rsid w:val="00FC0507"/>
    <w:rsid w:val="00FC1423"/>
    <w:rsid w:val="00FC6358"/>
    <w:rsid w:val="00FD320D"/>
    <w:rsid w:val="00FD3EE0"/>
    <w:rsid w:val="00FD4A09"/>
    <w:rsid w:val="00FE23DE"/>
    <w:rsid w:val="00FE64F2"/>
    <w:rsid w:val="00FE73B4"/>
    <w:rsid w:val="00FF1E2B"/>
    <w:rsid w:val="00FF23FF"/>
    <w:rsid w:val="00FF3339"/>
    <w:rsid w:val="00FF33FC"/>
    <w:rsid w:val="00FF469F"/>
    <w:rsid w:val="00FF4978"/>
    <w:rsid w:val="00FF6921"/>
    <w:rsid w:val="01140875"/>
    <w:rsid w:val="01414596"/>
    <w:rsid w:val="01972762"/>
    <w:rsid w:val="01B11117"/>
    <w:rsid w:val="01B32351"/>
    <w:rsid w:val="01B42948"/>
    <w:rsid w:val="01C86728"/>
    <w:rsid w:val="01C907E3"/>
    <w:rsid w:val="01D73961"/>
    <w:rsid w:val="01E74ACC"/>
    <w:rsid w:val="02426CB4"/>
    <w:rsid w:val="02B167EF"/>
    <w:rsid w:val="03001C79"/>
    <w:rsid w:val="03073F49"/>
    <w:rsid w:val="030D1C8E"/>
    <w:rsid w:val="034B0BE8"/>
    <w:rsid w:val="03564615"/>
    <w:rsid w:val="03CA1349"/>
    <w:rsid w:val="04276F58"/>
    <w:rsid w:val="0431202E"/>
    <w:rsid w:val="051A5876"/>
    <w:rsid w:val="051E441F"/>
    <w:rsid w:val="052823E9"/>
    <w:rsid w:val="05354967"/>
    <w:rsid w:val="059B56FA"/>
    <w:rsid w:val="059C5BCD"/>
    <w:rsid w:val="05AF3BC6"/>
    <w:rsid w:val="060F266E"/>
    <w:rsid w:val="062634B1"/>
    <w:rsid w:val="064D3ADD"/>
    <w:rsid w:val="067B70B5"/>
    <w:rsid w:val="06853001"/>
    <w:rsid w:val="0701054E"/>
    <w:rsid w:val="073F1C1F"/>
    <w:rsid w:val="07446543"/>
    <w:rsid w:val="0765096C"/>
    <w:rsid w:val="07BC2E41"/>
    <w:rsid w:val="07D858C8"/>
    <w:rsid w:val="08046B3F"/>
    <w:rsid w:val="08523606"/>
    <w:rsid w:val="088E5CA1"/>
    <w:rsid w:val="08C02B55"/>
    <w:rsid w:val="094511A5"/>
    <w:rsid w:val="097072B6"/>
    <w:rsid w:val="097219AA"/>
    <w:rsid w:val="09E7613B"/>
    <w:rsid w:val="09EE102B"/>
    <w:rsid w:val="09F61C94"/>
    <w:rsid w:val="0B266665"/>
    <w:rsid w:val="0B867E39"/>
    <w:rsid w:val="0BA24244"/>
    <w:rsid w:val="0BB72925"/>
    <w:rsid w:val="0CC22634"/>
    <w:rsid w:val="0D3F3B1E"/>
    <w:rsid w:val="0D564F20"/>
    <w:rsid w:val="0D5B2F4D"/>
    <w:rsid w:val="0D5B3233"/>
    <w:rsid w:val="0DD51C7C"/>
    <w:rsid w:val="0E4F4697"/>
    <w:rsid w:val="0E995C65"/>
    <w:rsid w:val="0F36499C"/>
    <w:rsid w:val="0FC9404C"/>
    <w:rsid w:val="0FD836DE"/>
    <w:rsid w:val="0FDF6903"/>
    <w:rsid w:val="100C0AA7"/>
    <w:rsid w:val="100E71A7"/>
    <w:rsid w:val="103A15B5"/>
    <w:rsid w:val="106D2640"/>
    <w:rsid w:val="10857989"/>
    <w:rsid w:val="108B1695"/>
    <w:rsid w:val="10EF2271"/>
    <w:rsid w:val="11090644"/>
    <w:rsid w:val="116E041E"/>
    <w:rsid w:val="117874EE"/>
    <w:rsid w:val="124671E9"/>
    <w:rsid w:val="124B2E19"/>
    <w:rsid w:val="125E7087"/>
    <w:rsid w:val="129C0FBA"/>
    <w:rsid w:val="13500D79"/>
    <w:rsid w:val="13C60024"/>
    <w:rsid w:val="1406218E"/>
    <w:rsid w:val="149025A4"/>
    <w:rsid w:val="14F226A2"/>
    <w:rsid w:val="15126311"/>
    <w:rsid w:val="155E2F28"/>
    <w:rsid w:val="1570089E"/>
    <w:rsid w:val="15A50C42"/>
    <w:rsid w:val="16467BBB"/>
    <w:rsid w:val="17C46BEE"/>
    <w:rsid w:val="183338A5"/>
    <w:rsid w:val="185C5EDF"/>
    <w:rsid w:val="18A20035"/>
    <w:rsid w:val="18B057C0"/>
    <w:rsid w:val="18F0575C"/>
    <w:rsid w:val="19700796"/>
    <w:rsid w:val="1A117CA3"/>
    <w:rsid w:val="1AB94C50"/>
    <w:rsid w:val="1B0A1E44"/>
    <w:rsid w:val="1B59213E"/>
    <w:rsid w:val="1BEA0FE8"/>
    <w:rsid w:val="1C53516B"/>
    <w:rsid w:val="1CBB2C04"/>
    <w:rsid w:val="1CBE163F"/>
    <w:rsid w:val="1CF51512"/>
    <w:rsid w:val="1EFD54D7"/>
    <w:rsid w:val="1F01587B"/>
    <w:rsid w:val="1F2627EB"/>
    <w:rsid w:val="1F34141F"/>
    <w:rsid w:val="1F4D6011"/>
    <w:rsid w:val="1FDA33F6"/>
    <w:rsid w:val="2128397D"/>
    <w:rsid w:val="213D187E"/>
    <w:rsid w:val="21612D9E"/>
    <w:rsid w:val="21B53E47"/>
    <w:rsid w:val="21EB7868"/>
    <w:rsid w:val="21FC61FA"/>
    <w:rsid w:val="22192CB2"/>
    <w:rsid w:val="226338A3"/>
    <w:rsid w:val="228D2ED3"/>
    <w:rsid w:val="22920117"/>
    <w:rsid w:val="22995492"/>
    <w:rsid w:val="22BD60B6"/>
    <w:rsid w:val="235F311B"/>
    <w:rsid w:val="23640346"/>
    <w:rsid w:val="236D796A"/>
    <w:rsid w:val="243063DC"/>
    <w:rsid w:val="24CB41CA"/>
    <w:rsid w:val="24D10FE2"/>
    <w:rsid w:val="24E019A3"/>
    <w:rsid w:val="2525117B"/>
    <w:rsid w:val="25455561"/>
    <w:rsid w:val="2574490F"/>
    <w:rsid w:val="257C57D3"/>
    <w:rsid w:val="25A60AB3"/>
    <w:rsid w:val="262D4DFD"/>
    <w:rsid w:val="2649476C"/>
    <w:rsid w:val="266016B4"/>
    <w:rsid w:val="267E58AC"/>
    <w:rsid w:val="269C46F2"/>
    <w:rsid w:val="26F41BE1"/>
    <w:rsid w:val="2700563B"/>
    <w:rsid w:val="27961681"/>
    <w:rsid w:val="288059C3"/>
    <w:rsid w:val="288C0B3D"/>
    <w:rsid w:val="28901506"/>
    <w:rsid w:val="292E56CA"/>
    <w:rsid w:val="29912F65"/>
    <w:rsid w:val="29AC0F42"/>
    <w:rsid w:val="29B92794"/>
    <w:rsid w:val="29D6489F"/>
    <w:rsid w:val="2A127E15"/>
    <w:rsid w:val="2A3F4E9B"/>
    <w:rsid w:val="2A966DAB"/>
    <w:rsid w:val="2B377C45"/>
    <w:rsid w:val="2B566989"/>
    <w:rsid w:val="2B6417CE"/>
    <w:rsid w:val="2B6A3EF4"/>
    <w:rsid w:val="2B9D2780"/>
    <w:rsid w:val="2BAC1361"/>
    <w:rsid w:val="2BCB14A1"/>
    <w:rsid w:val="2BDF1B71"/>
    <w:rsid w:val="2C0B5A8D"/>
    <w:rsid w:val="2CC644E9"/>
    <w:rsid w:val="2CDE40C4"/>
    <w:rsid w:val="2D9B17F3"/>
    <w:rsid w:val="2E365BD3"/>
    <w:rsid w:val="2F6F29D5"/>
    <w:rsid w:val="2F7B222C"/>
    <w:rsid w:val="2FED280D"/>
    <w:rsid w:val="2FED7E1F"/>
    <w:rsid w:val="301B4125"/>
    <w:rsid w:val="304E607B"/>
    <w:rsid w:val="30CB2040"/>
    <w:rsid w:val="316C4AB7"/>
    <w:rsid w:val="31F746FE"/>
    <w:rsid w:val="326759EC"/>
    <w:rsid w:val="32E2376E"/>
    <w:rsid w:val="3339489F"/>
    <w:rsid w:val="33772A90"/>
    <w:rsid w:val="337D6051"/>
    <w:rsid w:val="338C3DEE"/>
    <w:rsid w:val="34545741"/>
    <w:rsid w:val="34BF31A8"/>
    <w:rsid w:val="357571E9"/>
    <w:rsid w:val="36050757"/>
    <w:rsid w:val="361A3CEF"/>
    <w:rsid w:val="36383B5D"/>
    <w:rsid w:val="366E39DD"/>
    <w:rsid w:val="36C547BD"/>
    <w:rsid w:val="36C71EBD"/>
    <w:rsid w:val="37186914"/>
    <w:rsid w:val="3782665F"/>
    <w:rsid w:val="3820705B"/>
    <w:rsid w:val="382E711D"/>
    <w:rsid w:val="384D5FAB"/>
    <w:rsid w:val="38727CAD"/>
    <w:rsid w:val="38E726E0"/>
    <w:rsid w:val="39033D8F"/>
    <w:rsid w:val="390B6FF5"/>
    <w:rsid w:val="39515623"/>
    <w:rsid w:val="3952329C"/>
    <w:rsid w:val="39754190"/>
    <w:rsid w:val="398E4389"/>
    <w:rsid w:val="39C347CA"/>
    <w:rsid w:val="3A233974"/>
    <w:rsid w:val="3A6F5B3B"/>
    <w:rsid w:val="3AA307BF"/>
    <w:rsid w:val="3AF53C06"/>
    <w:rsid w:val="3AFD0C3F"/>
    <w:rsid w:val="3B5473C9"/>
    <w:rsid w:val="3B6E00F3"/>
    <w:rsid w:val="3BAC19BF"/>
    <w:rsid w:val="3C1F5B1D"/>
    <w:rsid w:val="3C6D6A6F"/>
    <w:rsid w:val="3CCD7C2C"/>
    <w:rsid w:val="3CFF6EC2"/>
    <w:rsid w:val="3D4F6AA6"/>
    <w:rsid w:val="3D864BBD"/>
    <w:rsid w:val="3DE973FB"/>
    <w:rsid w:val="3E0C2BE9"/>
    <w:rsid w:val="3E730443"/>
    <w:rsid w:val="3EAF3CA0"/>
    <w:rsid w:val="3F656D60"/>
    <w:rsid w:val="3F80537E"/>
    <w:rsid w:val="3F9F1ADE"/>
    <w:rsid w:val="3FA8743D"/>
    <w:rsid w:val="3FBC2987"/>
    <w:rsid w:val="3FDA63AE"/>
    <w:rsid w:val="3FF30C5C"/>
    <w:rsid w:val="40630EB8"/>
    <w:rsid w:val="40B26E68"/>
    <w:rsid w:val="40C854ED"/>
    <w:rsid w:val="40EB7B91"/>
    <w:rsid w:val="41DF65ED"/>
    <w:rsid w:val="41E97E78"/>
    <w:rsid w:val="42143CDC"/>
    <w:rsid w:val="422A74DB"/>
    <w:rsid w:val="42671951"/>
    <w:rsid w:val="427D37E2"/>
    <w:rsid w:val="430F7DE8"/>
    <w:rsid w:val="431C567C"/>
    <w:rsid w:val="433B35C2"/>
    <w:rsid w:val="43553AB7"/>
    <w:rsid w:val="43672D9B"/>
    <w:rsid w:val="436B5DBB"/>
    <w:rsid w:val="44282732"/>
    <w:rsid w:val="442849D8"/>
    <w:rsid w:val="44446C38"/>
    <w:rsid w:val="44AD0C81"/>
    <w:rsid w:val="44B00505"/>
    <w:rsid w:val="44C31DCE"/>
    <w:rsid w:val="44D76CCA"/>
    <w:rsid w:val="451F179E"/>
    <w:rsid w:val="45B858ED"/>
    <w:rsid w:val="45B934FF"/>
    <w:rsid w:val="45CA6A5E"/>
    <w:rsid w:val="45FD5490"/>
    <w:rsid w:val="46A621AC"/>
    <w:rsid w:val="46AF0F71"/>
    <w:rsid w:val="46C35F85"/>
    <w:rsid w:val="46CC32F9"/>
    <w:rsid w:val="4755115C"/>
    <w:rsid w:val="477465BC"/>
    <w:rsid w:val="48054931"/>
    <w:rsid w:val="48161BC0"/>
    <w:rsid w:val="486C4C7B"/>
    <w:rsid w:val="489D1598"/>
    <w:rsid w:val="48B96A76"/>
    <w:rsid w:val="48FE24B8"/>
    <w:rsid w:val="49A20738"/>
    <w:rsid w:val="4A362159"/>
    <w:rsid w:val="4A4D7226"/>
    <w:rsid w:val="4A6A59ED"/>
    <w:rsid w:val="4ADB5E1D"/>
    <w:rsid w:val="4B0E21D4"/>
    <w:rsid w:val="4BC123AD"/>
    <w:rsid w:val="4C961716"/>
    <w:rsid w:val="4CD46FC7"/>
    <w:rsid w:val="4CE244ED"/>
    <w:rsid w:val="4D4743A6"/>
    <w:rsid w:val="4D6415C8"/>
    <w:rsid w:val="4D9E7D1B"/>
    <w:rsid w:val="4DA77646"/>
    <w:rsid w:val="4DC72E5F"/>
    <w:rsid w:val="4DFC65C3"/>
    <w:rsid w:val="4E775E5C"/>
    <w:rsid w:val="4E935AF3"/>
    <w:rsid w:val="4F6465F2"/>
    <w:rsid w:val="4F79116E"/>
    <w:rsid w:val="4F9A68C0"/>
    <w:rsid w:val="4FF62F34"/>
    <w:rsid w:val="5003209D"/>
    <w:rsid w:val="508541C0"/>
    <w:rsid w:val="51A056CA"/>
    <w:rsid w:val="51EB1E95"/>
    <w:rsid w:val="530A53CB"/>
    <w:rsid w:val="53487DC7"/>
    <w:rsid w:val="535A279B"/>
    <w:rsid w:val="536E38AD"/>
    <w:rsid w:val="53A80FBC"/>
    <w:rsid w:val="53C06011"/>
    <w:rsid w:val="53FC12DE"/>
    <w:rsid w:val="541644E6"/>
    <w:rsid w:val="54227665"/>
    <w:rsid w:val="544113E6"/>
    <w:rsid w:val="547E044E"/>
    <w:rsid w:val="548065C2"/>
    <w:rsid w:val="548910DC"/>
    <w:rsid w:val="55036B77"/>
    <w:rsid w:val="551C4E89"/>
    <w:rsid w:val="55684442"/>
    <w:rsid w:val="55D152AD"/>
    <w:rsid w:val="566C307D"/>
    <w:rsid w:val="56ED1B53"/>
    <w:rsid w:val="57056C5F"/>
    <w:rsid w:val="57D660C1"/>
    <w:rsid w:val="58465C71"/>
    <w:rsid w:val="586F3A81"/>
    <w:rsid w:val="58931E3E"/>
    <w:rsid w:val="58D75E72"/>
    <w:rsid w:val="593C03CE"/>
    <w:rsid w:val="594A4899"/>
    <w:rsid w:val="597A1831"/>
    <w:rsid w:val="59821257"/>
    <w:rsid w:val="59B90D99"/>
    <w:rsid w:val="59CB2F65"/>
    <w:rsid w:val="59DA47DE"/>
    <w:rsid w:val="5A0743C7"/>
    <w:rsid w:val="5A6F03CD"/>
    <w:rsid w:val="5A89319F"/>
    <w:rsid w:val="5A991452"/>
    <w:rsid w:val="5AD96DBD"/>
    <w:rsid w:val="5ADD7687"/>
    <w:rsid w:val="5AEC4883"/>
    <w:rsid w:val="5B0A23F9"/>
    <w:rsid w:val="5B255A9F"/>
    <w:rsid w:val="5BD11CC5"/>
    <w:rsid w:val="5C0F5926"/>
    <w:rsid w:val="5C245793"/>
    <w:rsid w:val="5C4A5799"/>
    <w:rsid w:val="5C5F63D1"/>
    <w:rsid w:val="5C73148C"/>
    <w:rsid w:val="5CAF1E4F"/>
    <w:rsid w:val="5CC9063A"/>
    <w:rsid w:val="5CDE0409"/>
    <w:rsid w:val="5D0318D4"/>
    <w:rsid w:val="5D121B72"/>
    <w:rsid w:val="5D6A46F2"/>
    <w:rsid w:val="5DA201D9"/>
    <w:rsid w:val="5DAD189A"/>
    <w:rsid w:val="5DB27682"/>
    <w:rsid w:val="5DD26BD7"/>
    <w:rsid w:val="5DD52A57"/>
    <w:rsid w:val="5DD94BC0"/>
    <w:rsid w:val="5DF52A7C"/>
    <w:rsid w:val="5E26289D"/>
    <w:rsid w:val="5E7C3368"/>
    <w:rsid w:val="5E8005D1"/>
    <w:rsid w:val="5E8823D2"/>
    <w:rsid w:val="5E936EF1"/>
    <w:rsid w:val="5ECA446B"/>
    <w:rsid w:val="5EE61D7E"/>
    <w:rsid w:val="5F00771D"/>
    <w:rsid w:val="5F796280"/>
    <w:rsid w:val="60234E85"/>
    <w:rsid w:val="60A1077E"/>
    <w:rsid w:val="618245DC"/>
    <w:rsid w:val="61B054B5"/>
    <w:rsid w:val="61EF351D"/>
    <w:rsid w:val="62344338"/>
    <w:rsid w:val="62AA3355"/>
    <w:rsid w:val="62B35DB7"/>
    <w:rsid w:val="62F05223"/>
    <w:rsid w:val="633B583C"/>
    <w:rsid w:val="6346759F"/>
    <w:rsid w:val="634F657A"/>
    <w:rsid w:val="63A63A7F"/>
    <w:rsid w:val="63C817C4"/>
    <w:rsid w:val="63DD167C"/>
    <w:rsid w:val="64195615"/>
    <w:rsid w:val="642826FB"/>
    <w:rsid w:val="6494136D"/>
    <w:rsid w:val="649B4C16"/>
    <w:rsid w:val="650F17F7"/>
    <w:rsid w:val="65374778"/>
    <w:rsid w:val="654211E7"/>
    <w:rsid w:val="65432977"/>
    <w:rsid w:val="656029AD"/>
    <w:rsid w:val="658D48AA"/>
    <w:rsid w:val="65BC052B"/>
    <w:rsid w:val="65FD372C"/>
    <w:rsid w:val="66223EE8"/>
    <w:rsid w:val="664C23C3"/>
    <w:rsid w:val="664D2D66"/>
    <w:rsid w:val="66A166C0"/>
    <w:rsid w:val="66A6419C"/>
    <w:rsid w:val="66C62073"/>
    <w:rsid w:val="66D47E98"/>
    <w:rsid w:val="66D82637"/>
    <w:rsid w:val="66F52860"/>
    <w:rsid w:val="672A1EC9"/>
    <w:rsid w:val="67B92D95"/>
    <w:rsid w:val="68522D80"/>
    <w:rsid w:val="687C6E78"/>
    <w:rsid w:val="68883B9D"/>
    <w:rsid w:val="68A45D33"/>
    <w:rsid w:val="68C47869"/>
    <w:rsid w:val="699210C9"/>
    <w:rsid w:val="69943462"/>
    <w:rsid w:val="69C35333"/>
    <w:rsid w:val="69C61311"/>
    <w:rsid w:val="69DE0ED2"/>
    <w:rsid w:val="6A0C1591"/>
    <w:rsid w:val="6A0E500E"/>
    <w:rsid w:val="6A3C022E"/>
    <w:rsid w:val="6A7555A7"/>
    <w:rsid w:val="6AB95DFF"/>
    <w:rsid w:val="6AF942B8"/>
    <w:rsid w:val="6B645C28"/>
    <w:rsid w:val="6B6A5C8F"/>
    <w:rsid w:val="6BAE4746"/>
    <w:rsid w:val="6BD0499B"/>
    <w:rsid w:val="6BF94AE0"/>
    <w:rsid w:val="6C0A3FA0"/>
    <w:rsid w:val="6C25394E"/>
    <w:rsid w:val="6C871398"/>
    <w:rsid w:val="6CAF6FE6"/>
    <w:rsid w:val="6CED3FF7"/>
    <w:rsid w:val="6D11132F"/>
    <w:rsid w:val="6E8D72AA"/>
    <w:rsid w:val="6F223BB3"/>
    <w:rsid w:val="6F2A3BBC"/>
    <w:rsid w:val="6FE74798"/>
    <w:rsid w:val="6FE954B4"/>
    <w:rsid w:val="70182BA3"/>
    <w:rsid w:val="704C6251"/>
    <w:rsid w:val="707F1D73"/>
    <w:rsid w:val="70844C3E"/>
    <w:rsid w:val="70894809"/>
    <w:rsid w:val="70B873CC"/>
    <w:rsid w:val="70D07922"/>
    <w:rsid w:val="71954C28"/>
    <w:rsid w:val="71B91D71"/>
    <w:rsid w:val="71DA2889"/>
    <w:rsid w:val="71E73493"/>
    <w:rsid w:val="72586D60"/>
    <w:rsid w:val="725B321B"/>
    <w:rsid w:val="73050897"/>
    <w:rsid w:val="731B2933"/>
    <w:rsid w:val="734607FE"/>
    <w:rsid w:val="73A51066"/>
    <w:rsid w:val="73A659AC"/>
    <w:rsid w:val="73C72611"/>
    <w:rsid w:val="73D95370"/>
    <w:rsid w:val="73F96DE7"/>
    <w:rsid w:val="7423420D"/>
    <w:rsid w:val="742B2E31"/>
    <w:rsid w:val="743421DD"/>
    <w:rsid w:val="74846266"/>
    <w:rsid w:val="74AA0CF2"/>
    <w:rsid w:val="74E01B66"/>
    <w:rsid w:val="75417D45"/>
    <w:rsid w:val="757F3C4C"/>
    <w:rsid w:val="759E077F"/>
    <w:rsid w:val="76660440"/>
    <w:rsid w:val="768B782E"/>
    <w:rsid w:val="76BD6253"/>
    <w:rsid w:val="7703399E"/>
    <w:rsid w:val="77242094"/>
    <w:rsid w:val="77534417"/>
    <w:rsid w:val="77A24654"/>
    <w:rsid w:val="77AD276B"/>
    <w:rsid w:val="77AE3DED"/>
    <w:rsid w:val="77B31525"/>
    <w:rsid w:val="78C07426"/>
    <w:rsid w:val="78D676CB"/>
    <w:rsid w:val="78F93231"/>
    <w:rsid w:val="79226841"/>
    <w:rsid w:val="793D00EE"/>
    <w:rsid w:val="795D3040"/>
    <w:rsid w:val="79E85206"/>
    <w:rsid w:val="79EB4A87"/>
    <w:rsid w:val="7A1D7E42"/>
    <w:rsid w:val="7B603EF6"/>
    <w:rsid w:val="7B7E1769"/>
    <w:rsid w:val="7B9153A5"/>
    <w:rsid w:val="7C1554C3"/>
    <w:rsid w:val="7CAA00BA"/>
    <w:rsid w:val="7CEF2EDE"/>
    <w:rsid w:val="7D05449A"/>
    <w:rsid w:val="7D3E3BFF"/>
    <w:rsid w:val="7DAA5D0A"/>
    <w:rsid w:val="7DFC494D"/>
    <w:rsid w:val="7E6142BA"/>
    <w:rsid w:val="7EC4545E"/>
    <w:rsid w:val="7F0B55C9"/>
    <w:rsid w:val="7F153115"/>
    <w:rsid w:val="7F154C55"/>
    <w:rsid w:val="7F2464A6"/>
    <w:rsid w:val="7F545709"/>
    <w:rsid w:val="7F8518D8"/>
    <w:rsid w:val="7FB04E21"/>
    <w:rsid w:val="7FD92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link w:val="49"/>
    <w:autoRedefine/>
    <w:qFormat/>
    <w:uiPriority w:val="0"/>
    <w:pPr>
      <w:keepNext/>
      <w:keepLines/>
      <w:spacing w:before="280" w:after="290" w:line="376" w:lineRule="auto"/>
      <w:outlineLvl w:val="3"/>
    </w:pPr>
    <w:rPr>
      <w:rFonts w:ascii="等线 Light" w:hAnsi="等线 Light" w:eastAsia="等线 Light"/>
      <w:b/>
      <w:bCs/>
      <w:sz w:val="28"/>
      <w:szCs w:val="28"/>
    </w:rPr>
  </w:style>
  <w:style w:type="character" w:default="1" w:styleId="40">
    <w:name w:val="Default Paragraph Font"/>
    <w:autoRedefine/>
    <w:semiHidden/>
    <w:unhideWhenUsed/>
    <w:qFormat/>
    <w:uiPriority w:val="1"/>
  </w:style>
  <w:style w:type="table" w:default="1" w:styleId="38">
    <w:name w:val="Normal Table"/>
    <w:autoRedefine/>
    <w:semiHidden/>
    <w:unhideWhenUsed/>
    <w:qFormat/>
    <w:uiPriority w:val="99"/>
    <w:tblPr>
      <w:tblCellMar>
        <w:top w:w="0" w:type="dxa"/>
        <w:left w:w="108" w:type="dxa"/>
        <w:bottom w:w="0" w:type="dxa"/>
        <w:right w:w="108" w:type="dxa"/>
      </w:tblCellMar>
    </w:tblPr>
  </w:style>
  <w:style w:type="paragraph" w:styleId="4">
    <w:name w:val="toc 7"/>
    <w:basedOn w:val="1"/>
    <w:next w:val="1"/>
    <w:autoRedefine/>
    <w:semiHidden/>
    <w:qFormat/>
    <w:uiPriority w:val="0"/>
    <w:pPr>
      <w:tabs>
        <w:tab w:val="right" w:leader="dot" w:pos="9241"/>
      </w:tabs>
      <w:ind w:firstLine="500" w:firstLineChars="500"/>
      <w:jc w:val="left"/>
    </w:pPr>
    <w:rPr>
      <w:rFonts w:ascii="宋体"/>
      <w:szCs w:val="21"/>
    </w:rPr>
  </w:style>
  <w:style w:type="paragraph" w:styleId="5">
    <w:name w:val="index 8"/>
    <w:basedOn w:val="1"/>
    <w:next w:val="1"/>
    <w:autoRedefine/>
    <w:qFormat/>
    <w:uiPriority w:val="0"/>
    <w:pPr>
      <w:ind w:left="1680" w:hanging="210"/>
      <w:jc w:val="left"/>
    </w:pPr>
    <w:rPr>
      <w:rFonts w:ascii="Calibri" w:hAnsi="Calibri"/>
      <w:sz w:val="20"/>
      <w:szCs w:val="20"/>
    </w:rPr>
  </w:style>
  <w:style w:type="paragraph" w:styleId="6">
    <w:name w:val="Normal Indent"/>
    <w:basedOn w:val="1"/>
    <w:autoRedefine/>
    <w:qFormat/>
    <w:uiPriority w:val="99"/>
    <w:pPr>
      <w:adjustRightInd w:val="0"/>
      <w:spacing w:line="360" w:lineRule="atLeast"/>
      <w:ind w:firstLine="420"/>
      <w:jc w:val="left"/>
      <w:textAlignment w:val="baseline"/>
    </w:pPr>
    <w:rPr>
      <w:kern w:val="0"/>
      <w:sz w:val="24"/>
      <w:szCs w:val="20"/>
    </w:rPr>
  </w:style>
  <w:style w:type="paragraph" w:styleId="7">
    <w:name w:val="caption"/>
    <w:basedOn w:val="1"/>
    <w:next w:val="1"/>
    <w:autoRedefine/>
    <w:qFormat/>
    <w:uiPriority w:val="0"/>
    <w:pPr>
      <w:spacing w:before="152" w:after="160"/>
    </w:pPr>
    <w:rPr>
      <w:rFonts w:ascii="Arial" w:hAnsi="Arial" w:eastAsia="黑体" w:cs="Arial"/>
      <w:sz w:val="20"/>
      <w:szCs w:val="20"/>
    </w:rPr>
  </w:style>
  <w:style w:type="paragraph" w:styleId="8">
    <w:name w:val="index 5"/>
    <w:basedOn w:val="1"/>
    <w:next w:val="1"/>
    <w:autoRedefine/>
    <w:qFormat/>
    <w:uiPriority w:val="0"/>
    <w:pPr>
      <w:ind w:left="1050" w:hanging="210"/>
      <w:jc w:val="left"/>
    </w:pPr>
    <w:rPr>
      <w:rFonts w:ascii="Calibri" w:hAnsi="Calibri"/>
      <w:sz w:val="20"/>
      <w:szCs w:val="20"/>
    </w:rPr>
  </w:style>
  <w:style w:type="paragraph" w:styleId="9">
    <w:name w:val="Document Map"/>
    <w:basedOn w:val="1"/>
    <w:autoRedefine/>
    <w:semiHidden/>
    <w:qFormat/>
    <w:uiPriority w:val="0"/>
    <w:pPr>
      <w:shd w:val="clear" w:color="auto" w:fill="000080"/>
    </w:pPr>
  </w:style>
  <w:style w:type="paragraph" w:styleId="10">
    <w:name w:val="annotation text"/>
    <w:basedOn w:val="1"/>
    <w:link w:val="50"/>
    <w:autoRedefine/>
    <w:qFormat/>
    <w:uiPriority w:val="0"/>
    <w:pPr>
      <w:jc w:val="left"/>
    </w:pPr>
  </w:style>
  <w:style w:type="paragraph" w:styleId="11">
    <w:name w:val="index 6"/>
    <w:basedOn w:val="1"/>
    <w:next w:val="1"/>
    <w:autoRedefine/>
    <w:qFormat/>
    <w:uiPriority w:val="0"/>
    <w:pPr>
      <w:ind w:left="1260" w:hanging="210"/>
      <w:jc w:val="left"/>
    </w:pPr>
    <w:rPr>
      <w:rFonts w:ascii="Calibri" w:hAnsi="Calibri"/>
      <w:sz w:val="20"/>
      <w:szCs w:val="20"/>
    </w:rPr>
  </w:style>
  <w:style w:type="paragraph" w:styleId="12">
    <w:name w:val="Body Text"/>
    <w:basedOn w:val="1"/>
    <w:link w:val="51"/>
    <w:autoRedefine/>
    <w:qFormat/>
    <w:uiPriority w:val="0"/>
    <w:pPr>
      <w:spacing w:after="120"/>
    </w:pPr>
  </w:style>
  <w:style w:type="paragraph" w:styleId="13">
    <w:name w:val="index 4"/>
    <w:basedOn w:val="1"/>
    <w:next w:val="1"/>
    <w:autoRedefine/>
    <w:qFormat/>
    <w:uiPriority w:val="0"/>
    <w:pPr>
      <w:ind w:left="840" w:hanging="210"/>
      <w:jc w:val="left"/>
    </w:pPr>
    <w:rPr>
      <w:rFonts w:ascii="Calibri" w:hAnsi="Calibri"/>
      <w:sz w:val="20"/>
      <w:szCs w:val="20"/>
    </w:rPr>
  </w:style>
  <w:style w:type="paragraph" w:styleId="14">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5">
    <w:name w:val="toc 3"/>
    <w:basedOn w:val="1"/>
    <w:next w:val="1"/>
    <w:autoRedefine/>
    <w:semiHidden/>
    <w:qFormat/>
    <w:uiPriority w:val="0"/>
    <w:pPr>
      <w:tabs>
        <w:tab w:val="right" w:leader="dot" w:pos="9241"/>
      </w:tabs>
      <w:ind w:firstLine="100" w:firstLineChars="100"/>
      <w:jc w:val="left"/>
    </w:pPr>
    <w:rPr>
      <w:rFonts w:ascii="宋体"/>
      <w:szCs w:val="21"/>
    </w:rPr>
  </w:style>
  <w:style w:type="paragraph" w:styleId="16">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7">
    <w:name w:val="index 3"/>
    <w:basedOn w:val="1"/>
    <w:next w:val="1"/>
    <w:autoRedefine/>
    <w:qFormat/>
    <w:uiPriority w:val="0"/>
    <w:pPr>
      <w:ind w:left="630" w:hanging="210"/>
      <w:jc w:val="left"/>
    </w:pPr>
    <w:rPr>
      <w:rFonts w:ascii="Calibri" w:hAnsi="Calibri"/>
      <w:sz w:val="20"/>
      <w:szCs w:val="20"/>
    </w:rPr>
  </w:style>
  <w:style w:type="paragraph" w:styleId="18">
    <w:name w:val="endnote text"/>
    <w:basedOn w:val="1"/>
    <w:autoRedefine/>
    <w:semiHidden/>
    <w:qFormat/>
    <w:uiPriority w:val="0"/>
    <w:pPr>
      <w:snapToGrid w:val="0"/>
      <w:jc w:val="left"/>
    </w:pPr>
  </w:style>
  <w:style w:type="paragraph" w:styleId="19">
    <w:name w:val="Balloon Text"/>
    <w:basedOn w:val="1"/>
    <w:link w:val="52"/>
    <w:autoRedefine/>
    <w:qFormat/>
    <w:uiPriority w:val="0"/>
    <w:rPr>
      <w:sz w:val="18"/>
      <w:szCs w:val="18"/>
    </w:rPr>
  </w:style>
  <w:style w:type="paragraph" w:styleId="20">
    <w:name w:val="footer"/>
    <w:basedOn w:val="1"/>
    <w:autoRedefine/>
    <w:qFormat/>
    <w:uiPriority w:val="0"/>
    <w:pPr>
      <w:snapToGrid w:val="0"/>
      <w:ind w:right="210" w:rightChars="100"/>
      <w:jc w:val="right"/>
    </w:pPr>
    <w:rPr>
      <w:sz w:val="18"/>
      <w:szCs w:val="18"/>
    </w:rPr>
  </w:style>
  <w:style w:type="paragraph" w:styleId="21">
    <w:name w:val="header"/>
    <w:basedOn w:val="1"/>
    <w:autoRedefine/>
    <w:qFormat/>
    <w:uiPriority w:val="0"/>
    <w:pPr>
      <w:snapToGrid w:val="0"/>
      <w:jc w:val="left"/>
    </w:pPr>
    <w:rPr>
      <w:sz w:val="18"/>
      <w:szCs w:val="18"/>
    </w:rPr>
  </w:style>
  <w:style w:type="paragraph" w:styleId="22">
    <w:name w:val="toc 1"/>
    <w:basedOn w:val="1"/>
    <w:next w:val="1"/>
    <w:autoRedefine/>
    <w:semiHidden/>
    <w:qFormat/>
    <w:uiPriority w:val="0"/>
    <w:pPr>
      <w:tabs>
        <w:tab w:val="right" w:leader="dot" w:pos="9242"/>
      </w:tabs>
      <w:spacing w:before="25" w:beforeLines="25" w:after="25" w:afterLines="25"/>
      <w:jc w:val="left"/>
    </w:pPr>
    <w:rPr>
      <w:rFonts w:ascii="宋体"/>
      <w:szCs w:val="21"/>
    </w:rPr>
  </w:style>
  <w:style w:type="paragraph" w:styleId="23">
    <w:name w:val="toc 4"/>
    <w:basedOn w:val="1"/>
    <w:next w:val="1"/>
    <w:autoRedefine/>
    <w:semiHidden/>
    <w:qFormat/>
    <w:uiPriority w:val="0"/>
    <w:pPr>
      <w:tabs>
        <w:tab w:val="right" w:leader="dot" w:pos="9241"/>
      </w:tabs>
      <w:ind w:firstLine="200" w:firstLineChars="200"/>
      <w:jc w:val="left"/>
    </w:pPr>
    <w:rPr>
      <w:rFonts w:ascii="宋体"/>
      <w:szCs w:val="21"/>
    </w:rPr>
  </w:style>
  <w:style w:type="paragraph" w:styleId="24">
    <w:name w:val="index heading"/>
    <w:basedOn w:val="1"/>
    <w:next w:val="25"/>
    <w:autoRedefine/>
    <w:qFormat/>
    <w:uiPriority w:val="0"/>
    <w:pPr>
      <w:spacing w:before="120" w:after="120"/>
      <w:jc w:val="center"/>
    </w:pPr>
    <w:rPr>
      <w:rFonts w:ascii="Calibri" w:hAnsi="Calibri"/>
      <w:b/>
      <w:bCs/>
      <w:iCs/>
      <w:szCs w:val="20"/>
    </w:rPr>
  </w:style>
  <w:style w:type="paragraph" w:styleId="25">
    <w:name w:val="index 1"/>
    <w:basedOn w:val="1"/>
    <w:next w:val="26"/>
    <w:autoRedefine/>
    <w:qFormat/>
    <w:uiPriority w:val="0"/>
    <w:pPr>
      <w:tabs>
        <w:tab w:val="right" w:leader="dot" w:pos="9299"/>
      </w:tabs>
      <w:jc w:val="left"/>
    </w:pPr>
    <w:rPr>
      <w:rFonts w:ascii="宋体"/>
      <w:szCs w:val="21"/>
    </w:rPr>
  </w:style>
  <w:style w:type="paragraph" w:customStyle="1" w:styleId="26">
    <w:name w:val="段"/>
    <w:link w:val="53"/>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7">
    <w:name w:val="footnote text"/>
    <w:basedOn w:val="1"/>
    <w:next w:val="1"/>
    <w:autoRedefine/>
    <w:qFormat/>
    <w:uiPriority w:val="0"/>
    <w:pPr>
      <w:numPr>
        <w:ilvl w:val="0"/>
        <w:numId w:val="1"/>
      </w:numPr>
      <w:snapToGrid w:val="0"/>
      <w:jc w:val="left"/>
    </w:pPr>
    <w:rPr>
      <w:rFonts w:ascii="宋体"/>
      <w:sz w:val="18"/>
      <w:szCs w:val="18"/>
    </w:rPr>
  </w:style>
  <w:style w:type="paragraph" w:styleId="28">
    <w:name w:val="toc 6"/>
    <w:basedOn w:val="1"/>
    <w:next w:val="1"/>
    <w:autoRedefine/>
    <w:semiHidden/>
    <w:qFormat/>
    <w:uiPriority w:val="0"/>
    <w:pPr>
      <w:tabs>
        <w:tab w:val="right" w:leader="dot" w:pos="9241"/>
      </w:tabs>
      <w:ind w:firstLine="400" w:firstLineChars="400"/>
      <w:jc w:val="left"/>
    </w:pPr>
    <w:rPr>
      <w:rFonts w:ascii="宋体"/>
      <w:szCs w:val="21"/>
    </w:rPr>
  </w:style>
  <w:style w:type="paragraph" w:styleId="29">
    <w:name w:val="index 7"/>
    <w:basedOn w:val="1"/>
    <w:next w:val="1"/>
    <w:autoRedefine/>
    <w:qFormat/>
    <w:uiPriority w:val="0"/>
    <w:pPr>
      <w:ind w:left="1470" w:hanging="210"/>
      <w:jc w:val="left"/>
    </w:pPr>
    <w:rPr>
      <w:rFonts w:ascii="Calibri" w:hAnsi="Calibri"/>
      <w:sz w:val="20"/>
      <w:szCs w:val="20"/>
    </w:rPr>
  </w:style>
  <w:style w:type="paragraph" w:styleId="30">
    <w:name w:val="index 9"/>
    <w:basedOn w:val="1"/>
    <w:next w:val="1"/>
    <w:autoRedefine/>
    <w:qFormat/>
    <w:uiPriority w:val="0"/>
    <w:pPr>
      <w:ind w:left="1890" w:hanging="210"/>
      <w:jc w:val="left"/>
    </w:pPr>
    <w:rPr>
      <w:rFonts w:ascii="Calibri" w:hAnsi="Calibri"/>
      <w:sz w:val="20"/>
      <w:szCs w:val="20"/>
    </w:rPr>
  </w:style>
  <w:style w:type="paragraph" w:styleId="31">
    <w:name w:val="toc 2"/>
    <w:basedOn w:val="1"/>
    <w:next w:val="1"/>
    <w:autoRedefine/>
    <w:semiHidden/>
    <w:qFormat/>
    <w:uiPriority w:val="0"/>
    <w:pPr>
      <w:tabs>
        <w:tab w:val="right" w:leader="dot" w:pos="9242"/>
      </w:tabs>
    </w:pPr>
    <w:rPr>
      <w:rFonts w:ascii="宋体"/>
      <w:szCs w:val="21"/>
    </w:rPr>
  </w:style>
  <w:style w:type="paragraph" w:styleId="32">
    <w:name w:val="toc 9"/>
    <w:basedOn w:val="1"/>
    <w:next w:val="1"/>
    <w:autoRedefine/>
    <w:semiHidden/>
    <w:qFormat/>
    <w:uiPriority w:val="0"/>
    <w:pPr>
      <w:ind w:left="1470"/>
      <w:jc w:val="left"/>
    </w:pPr>
    <w:rPr>
      <w:sz w:val="20"/>
      <w:szCs w:val="20"/>
    </w:rPr>
  </w:style>
  <w:style w:type="paragraph" w:styleId="33">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34">
    <w:name w:val="index 2"/>
    <w:basedOn w:val="1"/>
    <w:next w:val="1"/>
    <w:autoRedefine/>
    <w:qFormat/>
    <w:uiPriority w:val="0"/>
    <w:pPr>
      <w:ind w:left="420" w:hanging="210"/>
      <w:jc w:val="left"/>
    </w:pPr>
    <w:rPr>
      <w:rFonts w:ascii="Calibri" w:hAnsi="Calibri"/>
      <w:sz w:val="20"/>
      <w:szCs w:val="20"/>
    </w:rPr>
  </w:style>
  <w:style w:type="paragraph" w:styleId="35">
    <w:name w:val="Title"/>
    <w:basedOn w:val="1"/>
    <w:autoRedefine/>
    <w:qFormat/>
    <w:uiPriority w:val="0"/>
    <w:pPr>
      <w:spacing w:before="240" w:after="60"/>
      <w:jc w:val="center"/>
      <w:outlineLvl w:val="0"/>
    </w:pPr>
    <w:rPr>
      <w:rFonts w:ascii="Arial" w:hAnsi="Arial"/>
      <w:b/>
      <w:sz w:val="32"/>
    </w:rPr>
  </w:style>
  <w:style w:type="paragraph" w:styleId="36">
    <w:name w:val="annotation subject"/>
    <w:basedOn w:val="10"/>
    <w:next w:val="10"/>
    <w:link w:val="54"/>
    <w:autoRedefine/>
    <w:qFormat/>
    <w:uiPriority w:val="0"/>
    <w:rPr>
      <w:b/>
      <w:bCs/>
    </w:rPr>
  </w:style>
  <w:style w:type="paragraph" w:styleId="37">
    <w:name w:val="Body Text First Indent"/>
    <w:basedOn w:val="12"/>
    <w:link w:val="55"/>
    <w:autoRedefine/>
    <w:qFormat/>
    <w:uiPriority w:val="0"/>
    <w:pPr>
      <w:adjustRightInd w:val="0"/>
      <w:spacing w:after="0" w:line="320" w:lineRule="exact"/>
      <w:ind w:firstLine="420"/>
      <w:jc w:val="left"/>
      <w:textAlignment w:val="baseline"/>
    </w:pPr>
    <w:rPr>
      <w:rFonts w:ascii="宋体" w:hAnsi="宋体"/>
      <w:kern w:val="0"/>
      <w:szCs w:val="20"/>
    </w:rPr>
  </w:style>
  <w:style w:type="table" w:styleId="39">
    <w:name w:val="Table Grid"/>
    <w:basedOn w:val="38"/>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1">
    <w:name w:val="Strong"/>
    <w:basedOn w:val="40"/>
    <w:autoRedefine/>
    <w:qFormat/>
    <w:uiPriority w:val="0"/>
    <w:rPr>
      <w:b/>
    </w:rPr>
  </w:style>
  <w:style w:type="character" w:styleId="42">
    <w:name w:val="endnote reference"/>
    <w:autoRedefine/>
    <w:semiHidden/>
    <w:qFormat/>
    <w:uiPriority w:val="0"/>
    <w:rPr>
      <w:vertAlign w:val="superscript"/>
    </w:rPr>
  </w:style>
  <w:style w:type="character" w:styleId="43">
    <w:name w:val="page number"/>
    <w:autoRedefine/>
    <w:qFormat/>
    <w:uiPriority w:val="0"/>
    <w:rPr>
      <w:rFonts w:ascii="Times New Roman" w:hAnsi="Times New Roman" w:eastAsia="宋体"/>
      <w:sz w:val="18"/>
    </w:rPr>
  </w:style>
  <w:style w:type="character" w:styleId="44">
    <w:name w:val="FollowedHyperlink"/>
    <w:autoRedefine/>
    <w:qFormat/>
    <w:uiPriority w:val="0"/>
    <w:rPr>
      <w:color w:val="800080"/>
      <w:u w:val="single"/>
    </w:rPr>
  </w:style>
  <w:style w:type="character" w:styleId="45">
    <w:name w:val="Hyperlink"/>
    <w:autoRedefine/>
    <w:qFormat/>
    <w:uiPriority w:val="0"/>
    <w:rPr>
      <w:color w:val="0000FF"/>
      <w:spacing w:val="0"/>
      <w:w w:val="100"/>
      <w:szCs w:val="21"/>
      <w:u w:val="single"/>
      <w:lang w:val="en-US" w:eastAsia="zh-CN"/>
    </w:rPr>
  </w:style>
  <w:style w:type="character" w:styleId="46">
    <w:name w:val="annotation reference"/>
    <w:autoRedefine/>
    <w:qFormat/>
    <w:uiPriority w:val="0"/>
    <w:rPr>
      <w:sz w:val="21"/>
      <w:szCs w:val="21"/>
    </w:rPr>
  </w:style>
  <w:style w:type="character" w:styleId="47">
    <w:name w:val="footnote reference"/>
    <w:autoRedefine/>
    <w:qFormat/>
    <w:uiPriority w:val="0"/>
    <w:rPr>
      <w:rFonts w:ascii="宋体" w:hAnsi="Times New Roman" w:eastAsia="宋体" w:cs="Times New Roman"/>
      <w:kern w:val="2"/>
      <w:sz w:val="18"/>
      <w:szCs w:val="18"/>
      <w:vertAlign w:val="superscript"/>
      <w:lang w:val="en-US" w:eastAsia="zh-CN" w:bidi="ar-SA"/>
    </w:rPr>
  </w:style>
  <w:style w:type="paragraph" w:customStyle="1" w:styleId="48">
    <w:name w:val="Heading4"/>
    <w:basedOn w:val="1"/>
    <w:next w:val="1"/>
    <w:autoRedefine/>
    <w:qFormat/>
    <w:uiPriority w:val="99"/>
    <w:pPr>
      <w:spacing w:line="400" w:lineRule="exact"/>
    </w:pPr>
    <w:rPr>
      <w:szCs w:val="28"/>
    </w:rPr>
  </w:style>
  <w:style w:type="character" w:customStyle="1" w:styleId="49">
    <w:name w:val="标题 4 Char"/>
    <w:link w:val="3"/>
    <w:autoRedefine/>
    <w:semiHidden/>
    <w:qFormat/>
    <w:uiPriority w:val="0"/>
    <w:rPr>
      <w:rFonts w:ascii="等线 Light" w:hAnsi="等线 Light" w:eastAsia="等线 Light" w:cs="Times New Roman"/>
      <w:b/>
      <w:bCs/>
      <w:kern w:val="2"/>
      <w:sz w:val="28"/>
      <w:szCs w:val="28"/>
    </w:rPr>
  </w:style>
  <w:style w:type="character" w:customStyle="1" w:styleId="50">
    <w:name w:val="批注文字 Char"/>
    <w:link w:val="10"/>
    <w:autoRedefine/>
    <w:qFormat/>
    <w:uiPriority w:val="0"/>
    <w:rPr>
      <w:kern w:val="2"/>
      <w:sz w:val="21"/>
      <w:szCs w:val="24"/>
    </w:rPr>
  </w:style>
  <w:style w:type="character" w:customStyle="1" w:styleId="51">
    <w:name w:val="正文文本 Char"/>
    <w:link w:val="12"/>
    <w:autoRedefine/>
    <w:qFormat/>
    <w:uiPriority w:val="0"/>
    <w:rPr>
      <w:kern w:val="2"/>
      <w:sz w:val="21"/>
      <w:szCs w:val="24"/>
    </w:rPr>
  </w:style>
  <w:style w:type="character" w:customStyle="1" w:styleId="52">
    <w:name w:val="批注框文本 Char"/>
    <w:link w:val="19"/>
    <w:autoRedefine/>
    <w:qFormat/>
    <w:uiPriority w:val="0"/>
    <w:rPr>
      <w:kern w:val="2"/>
      <w:sz w:val="18"/>
      <w:szCs w:val="18"/>
    </w:rPr>
  </w:style>
  <w:style w:type="character" w:customStyle="1" w:styleId="53">
    <w:name w:val="段 Char"/>
    <w:link w:val="26"/>
    <w:autoRedefine/>
    <w:qFormat/>
    <w:uiPriority w:val="0"/>
    <w:rPr>
      <w:rFonts w:ascii="宋体"/>
      <w:sz w:val="21"/>
      <w:lang w:val="en-US" w:eastAsia="zh-CN" w:bidi="ar-SA"/>
    </w:rPr>
  </w:style>
  <w:style w:type="character" w:customStyle="1" w:styleId="54">
    <w:name w:val="批注主题 Char"/>
    <w:link w:val="36"/>
    <w:autoRedefine/>
    <w:qFormat/>
    <w:uiPriority w:val="0"/>
    <w:rPr>
      <w:b/>
      <w:bCs/>
      <w:kern w:val="2"/>
      <w:sz w:val="21"/>
      <w:szCs w:val="24"/>
    </w:rPr>
  </w:style>
  <w:style w:type="character" w:customStyle="1" w:styleId="55">
    <w:name w:val="正文首行缩进 Char"/>
    <w:link w:val="37"/>
    <w:autoRedefine/>
    <w:qFormat/>
    <w:uiPriority w:val="0"/>
    <w:rPr>
      <w:rFonts w:ascii="宋体" w:hAnsi="宋体"/>
      <w:kern w:val="2"/>
      <w:sz w:val="21"/>
      <w:szCs w:val="24"/>
    </w:rPr>
  </w:style>
  <w:style w:type="paragraph" w:customStyle="1" w:styleId="56">
    <w:name w:val="一级条标题"/>
    <w:next w:val="26"/>
    <w:autoRedefine/>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7">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8">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9">
    <w:name w:val="章标题"/>
    <w:next w:val="26"/>
    <w:autoRedefine/>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60">
    <w:name w:val="二级条标题"/>
    <w:basedOn w:val="56"/>
    <w:next w:val="26"/>
    <w:autoRedefine/>
    <w:qFormat/>
    <w:uiPriority w:val="0"/>
    <w:pPr>
      <w:numPr>
        <w:ilvl w:val="2"/>
      </w:numPr>
      <w:spacing w:before="50" w:after="50"/>
      <w:outlineLvl w:val="3"/>
    </w:pPr>
  </w:style>
  <w:style w:type="paragraph" w:customStyle="1" w:styleId="61">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2">
    <w:name w:val="列项——（一级）"/>
    <w:autoRedefine/>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63">
    <w:name w:val="列项●（二级）"/>
    <w:autoRedefine/>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64">
    <w:name w:val="目次、标准名称标题"/>
    <w:basedOn w:val="1"/>
    <w:next w:val="26"/>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5">
    <w:name w:val="三级条标题"/>
    <w:basedOn w:val="60"/>
    <w:next w:val="26"/>
    <w:autoRedefine/>
    <w:qFormat/>
    <w:uiPriority w:val="0"/>
    <w:pPr>
      <w:numPr>
        <w:ilvl w:val="3"/>
      </w:numPr>
      <w:outlineLvl w:val="4"/>
    </w:pPr>
  </w:style>
  <w:style w:type="paragraph" w:customStyle="1" w:styleId="66">
    <w:name w:val="示例"/>
    <w:next w:val="67"/>
    <w:autoRedefine/>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7">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68">
    <w:name w:val="数字编号列项（二级）"/>
    <w:autoRedefine/>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9">
    <w:name w:val="四级条标题"/>
    <w:basedOn w:val="65"/>
    <w:next w:val="26"/>
    <w:autoRedefine/>
    <w:qFormat/>
    <w:uiPriority w:val="0"/>
    <w:pPr>
      <w:numPr>
        <w:ilvl w:val="4"/>
      </w:numPr>
      <w:outlineLvl w:val="5"/>
    </w:pPr>
  </w:style>
  <w:style w:type="paragraph" w:customStyle="1" w:styleId="70">
    <w:name w:val="五级条标题"/>
    <w:basedOn w:val="69"/>
    <w:next w:val="26"/>
    <w:autoRedefine/>
    <w:qFormat/>
    <w:uiPriority w:val="0"/>
    <w:pPr>
      <w:numPr>
        <w:ilvl w:val="5"/>
      </w:numPr>
      <w:outlineLvl w:val="6"/>
    </w:pPr>
  </w:style>
  <w:style w:type="paragraph" w:customStyle="1" w:styleId="71">
    <w:name w:val="注："/>
    <w:next w:val="26"/>
    <w:autoRedefine/>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72">
    <w:name w:val="注×："/>
    <w:autoRedefine/>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73">
    <w:name w:val="字母编号列项（一级）"/>
    <w:autoRedefine/>
    <w:qFormat/>
    <w:uiPriority w:val="0"/>
    <w:pPr>
      <w:numPr>
        <w:ilvl w:val="0"/>
        <w:numId w:val="5"/>
      </w:numPr>
      <w:jc w:val="both"/>
    </w:pPr>
    <w:rPr>
      <w:rFonts w:ascii="宋体" w:hAnsi="Times New Roman" w:eastAsia="宋体" w:cs="Times New Roman"/>
      <w:sz w:val="21"/>
      <w:lang w:val="en-US" w:eastAsia="zh-CN" w:bidi="ar-SA"/>
    </w:rPr>
  </w:style>
  <w:style w:type="paragraph" w:customStyle="1" w:styleId="74">
    <w:name w:val="列项◆（三级）"/>
    <w:basedOn w:val="1"/>
    <w:autoRedefine/>
    <w:qFormat/>
    <w:uiPriority w:val="0"/>
    <w:pPr>
      <w:numPr>
        <w:ilvl w:val="2"/>
        <w:numId w:val="3"/>
      </w:numPr>
    </w:pPr>
    <w:rPr>
      <w:rFonts w:ascii="宋体"/>
      <w:szCs w:val="21"/>
    </w:rPr>
  </w:style>
  <w:style w:type="paragraph" w:customStyle="1" w:styleId="75">
    <w:name w:val="编号列项（三级）"/>
    <w:autoRedefine/>
    <w:qFormat/>
    <w:uiPriority w:val="0"/>
    <w:pPr>
      <w:numPr>
        <w:ilvl w:val="2"/>
        <w:numId w:val="5"/>
      </w:numPr>
    </w:pPr>
    <w:rPr>
      <w:rFonts w:ascii="宋体" w:hAnsi="Times New Roman" w:eastAsia="宋体" w:cs="Times New Roman"/>
      <w:sz w:val="21"/>
      <w:lang w:val="en-US" w:eastAsia="zh-CN" w:bidi="ar-SA"/>
    </w:rPr>
  </w:style>
  <w:style w:type="paragraph" w:customStyle="1" w:styleId="76">
    <w:name w:val="示例×："/>
    <w:basedOn w:val="59"/>
    <w:autoRedefine/>
    <w:qFormat/>
    <w:uiPriority w:val="0"/>
    <w:pPr>
      <w:numPr>
        <w:numId w:val="8"/>
      </w:numPr>
      <w:spacing w:before="0" w:beforeLines="0" w:after="0" w:afterLines="0"/>
      <w:outlineLvl w:val="9"/>
    </w:pPr>
    <w:rPr>
      <w:rFonts w:ascii="宋体" w:eastAsia="宋体"/>
      <w:sz w:val="18"/>
      <w:szCs w:val="18"/>
    </w:rPr>
  </w:style>
  <w:style w:type="paragraph" w:customStyle="1" w:styleId="77">
    <w:name w:val="二级无"/>
    <w:basedOn w:val="60"/>
    <w:autoRedefine/>
    <w:qFormat/>
    <w:uiPriority w:val="0"/>
    <w:pPr>
      <w:spacing w:before="0" w:beforeLines="0" w:after="0" w:afterLines="0"/>
    </w:pPr>
    <w:rPr>
      <w:rFonts w:ascii="宋体" w:eastAsia="宋体"/>
    </w:rPr>
  </w:style>
  <w:style w:type="paragraph" w:customStyle="1" w:styleId="78">
    <w:name w:val="注：（正文）"/>
    <w:basedOn w:val="71"/>
    <w:next w:val="26"/>
    <w:autoRedefine/>
    <w:qFormat/>
    <w:uiPriority w:val="0"/>
  </w:style>
  <w:style w:type="paragraph" w:customStyle="1" w:styleId="79">
    <w:name w:val="注×：（正文）"/>
    <w:autoRedefine/>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80">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1">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2">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83">
    <w:name w:val="标准书眉_偶数页"/>
    <w:basedOn w:val="58"/>
    <w:next w:val="1"/>
    <w:autoRedefine/>
    <w:qFormat/>
    <w:uiPriority w:val="0"/>
    <w:pPr>
      <w:jc w:val="left"/>
    </w:pPr>
  </w:style>
  <w:style w:type="paragraph" w:customStyle="1" w:styleId="84">
    <w:name w:val="标准书眉一"/>
    <w:autoRedefine/>
    <w:qFormat/>
    <w:uiPriority w:val="0"/>
    <w:pPr>
      <w:jc w:val="both"/>
    </w:pPr>
    <w:rPr>
      <w:rFonts w:ascii="Times New Roman" w:hAnsi="Times New Roman" w:eastAsia="宋体" w:cs="Times New Roman"/>
      <w:lang w:val="en-US" w:eastAsia="zh-CN" w:bidi="ar-SA"/>
    </w:rPr>
  </w:style>
  <w:style w:type="paragraph" w:customStyle="1" w:styleId="85">
    <w:name w:val="参考文献"/>
    <w:basedOn w:val="1"/>
    <w:next w:val="26"/>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6">
    <w:name w:val="参考文献、索引标题"/>
    <w:basedOn w:val="1"/>
    <w:next w:val="26"/>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7">
    <w:name w:val="发布"/>
    <w:autoRedefine/>
    <w:qFormat/>
    <w:uiPriority w:val="0"/>
    <w:rPr>
      <w:rFonts w:ascii="黑体" w:eastAsia="黑体"/>
      <w:spacing w:val="85"/>
      <w:w w:val="100"/>
      <w:position w:val="3"/>
      <w:sz w:val="28"/>
      <w:szCs w:val="28"/>
    </w:rPr>
  </w:style>
  <w:style w:type="paragraph" w:customStyle="1" w:styleId="88">
    <w:name w:val="发布部门"/>
    <w:next w:val="26"/>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9">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0">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91">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2">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3">
    <w:name w:val="封面标准英文名称"/>
    <w:basedOn w:val="92"/>
    <w:autoRedefine/>
    <w:qFormat/>
    <w:uiPriority w:val="0"/>
    <w:pPr>
      <w:framePr w:wrap="around"/>
      <w:spacing w:before="370" w:line="400" w:lineRule="exact"/>
    </w:pPr>
    <w:rPr>
      <w:rFonts w:ascii="Times New Roman"/>
      <w:sz w:val="28"/>
      <w:szCs w:val="28"/>
    </w:rPr>
  </w:style>
  <w:style w:type="paragraph" w:customStyle="1" w:styleId="94">
    <w:name w:val="封面一致性程度标识"/>
    <w:basedOn w:val="93"/>
    <w:autoRedefine/>
    <w:qFormat/>
    <w:uiPriority w:val="0"/>
    <w:pPr>
      <w:framePr w:wrap="around"/>
      <w:spacing w:before="440"/>
    </w:pPr>
    <w:rPr>
      <w:rFonts w:ascii="宋体" w:eastAsia="宋体"/>
    </w:rPr>
  </w:style>
  <w:style w:type="paragraph" w:customStyle="1" w:styleId="95">
    <w:name w:val="封面标准文稿类别"/>
    <w:basedOn w:val="94"/>
    <w:autoRedefine/>
    <w:qFormat/>
    <w:uiPriority w:val="0"/>
    <w:pPr>
      <w:framePr w:wrap="around"/>
      <w:spacing w:after="160" w:line="240" w:lineRule="auto"/>
    </w:pPr>
    <w:rPr>
      <w:sz w:val="24"/>
    </w:rPr>
  </w:style>
  <w:style w:type="paragraph" w:customStyle="1" w:styleId="96">
    <w:name w:val="封面标准文稿编辑信息"/>
    <w:basedOn w:val="95"/>
    <w:autoRedefine/>
    <w:qFormat/>
    <w:uiPriority w:val="0"/>
    <w:pPr>
      <w:framePr w:wrap="around"/>
      <w:spacing w:before="180" w:line="180" w:lineRule="exact"/>
    </w:pPr>
    <w:rPr>
      <w:sz w:val="21"/>
    </w:rPr>
  </w:style>
  <w:style w:type="paragraph" w:customStyle="1" w:styleId="97">
    <w:name w:val="封面正文"/>
    <w:autoRedefine/>
    <w:qFormat/>
    <w:uiPriority w:val="0"/>
    <w:pPr>
      <w:jc w:val="both"/>
    </w:pPr>
    <w:rPr>
      <w:rFonts w:ascii="Times New Roman" w:hAnsi="Times New Roman" w:eastAsia="宋体" w:cs="Times New Roman"/>
      <w:lang w:val="en-US" w:eastAsia="zh-CN" w:bidi="ar-SA"/>
    </w:rPr>
  </w:style>
  <w:style w:type="paragraph" w:customStyle="1" w:styleId="98">
    <w:name w:val="附录标识"/>
    <w:basedOn w:val="1"/>
    <w:next w:val="26"/>
    <w:autoRedefine/>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9">
    <w:name w:val="附录标题"/>
    <w:basedOn w:val="26"/>
    <w:next w:val="26"/>
    <w:autoRedefine/>
    <w:qFormat/>
    <w:uiPriority w:val="0"/>
    <w:pPr>
      <w:ind w:firstLine="0" w:firstLineChars="0"/>
      <w:jc w:val="center"/>
    </w:pPr>
    <w:rPr>
      <w:rFonts w:ascii="黑体" w:eastAsia="黑体"/>
    </w:rPr>
  </w:style>
  <w:style w:type="paragraph" w:customStyle="1" w:styleId="100">
    <w:name w:val="附录表标号"/>
    <w:basedOn w:val="1"/>
    <w:next w:val="26"/>
    <w:autoRedefine/>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101">
    <w:name w:val="附录表标题"/>
    <w:basedOn w:val="1"/>
    <w:next w:val="26"/>
    <w:autoRedefine/>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102">
    <w:name w:val="附录二级条标题"/>
    <w:basedOn w:val="1"/>
    <w:next w:val="26"/>
    <w:autoRedefine/>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03">
    <w:name w:val="附录二级无"/>
    <w:basedOn w:val="102"/>
    <w:autoRedefine/>
    <w:qFormat/>
    <w:uiPriority w:val="0"/>
    <w:pPr>
      <w:tabs>
        <w:tab w:val="clear" w:pos="360"/>
      </w:tabs>
      <w:spacing w:before="0" w:beforeLines="0" w:after="0" w:afterLines="0"/>
    </w:pPr>
    <w:rPr>
      <w:rFonts w:ascii="宋体" w:eastAsia="宋体"/>
      <w:szCs w:val="21"/>
    </w:rPr>
  </w:style>
  <w:style w:type="paragraph" w:customStyle="1" w:styleId="104">
    <w:name w:val="附录公式"/>
    <w:basedOn w:val="26"/>
    <w:next w:val="26"/>
    <w:link w:val="105"/>
    <w:autoRedefine/>
    <w:qFormat/>
    <w:uiPriority w:val="0"/>
  </w:style>
  <w:style w:type="character" w:customStyle="1" w:styleId="105">
    <w:name w:val="附录公式 Char"/>
    <w:link w:val="104"/>
    <w:autoRedefine/>
    <w:qFormat/>
    <w:uiPriority w:val="0"/>
    <w:rPr>
      <w:rFonts w:ascii="宋体"/>
      <w:sz w:val="21"/>
      <w:lang w:val="en-US" w:eastAsia="zh-CN" w:bidi="ar-SA"/>
    </w:rPr>
  </w:style>
  <w:style w:type="paragraph" w:customStyle="1" w:styleId="106">
    <w:name w:val="附录公式编号制表符"/>
    <w:basedOn w:val="1"/>
    <w:next w:val="26"/>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107">
    <w:name w:val="附录三级条标题"/>
    <w:basedOn w:val="102"/>
    <w:next w:val="26"/>
    <w:autoRedefine/>
    <w:qFormat/>
    <w:uiPriority w:val="0"/>
    <w:pPr>
      <w:numPr>
        <w:ilvl w:val="4"/>
      </w:numPr>
      <w:outlineLvl w:val="4"/>
    </w:pPr>
  </w:style>
  <w:style w:type="paragraph" w:customStyle="1" w:styleId="108">
    <w:name w:val="附录三级无"/>
    <w:basedOn w:val="107"/>
    <w:autoRedefine/>
    <w:qFormat/>
    <w:uiPriority w:val="0"/>
    <w:pPr>
      <w:tabs>
        <w:tab w:val="clear" w:pos="360"/>
      </w:tabs>
      <w:spacing w:before="0" w:beforeLines="0" w:after="0" w:afterLines="0"/>
    </w:pPr>
    <w:rPr>
      <w:rFonts w:ascii="宋体" w:eastAsia="宋体"/>
      <w:szCs w:val="21"/>
    </w:rPr>
  </w:style>
  <w:style w:type="paragraph" w:customStyle="1" w:styleId="109">
    <w:name w:val="附录数字编号列项（二级）"/>
    <w:autoRedefine/>
    <w:qFormat/>
    <w:uiPriority w:val="0"/>
    <w:pPr>
      <w:numPr>
        <w:ilvl w:val="1"/>
        <w:numId w:val="12"/>
      </w:numPr>
    </w:pPr>
    <w:rPr>
      <w:rFonts w:ascii="宋体" w:hAnsi="Times New Roman" w:eastAsia="宋体" w:cs="Times New Roman"/>
      <w:sz w:val="21"/>
      <w:lang w:val="en-US" w:eastAsia="zh-CN" w:bidi="ar-SA"/>
    </w:rPr>
  </w:style>
  <w:style w:type="paragraph" w:customStyle="1" w:styleId="110">
    <w:name w:val="附录四级条标题"/>
    <w:basedOn w:val="107"/>
    <w:next w:val="26"/>
    <w:autoRedefine/>
    <w:qFormat/>
    <w:uiPriority w:val="0"/>
    <w:pPr>
      <w:numPr>
        <w:ilvl w:val="5"/>
      </w:numPr>
      <w:outlineLvl w:val="5"/>
    </w:pPr>
  </w:style>
  <w:style w:type="paragraph" w:customStyle="1" w:styleId="111">
    <w:name w:val="附录四级无"/>
    <w:basedOn w:val="110"/>
    <w:autoRedefine/>
    <w:qFormat/>
    <w:uiPriority w:val="0"/>
    <w:pPr>
      <w:tabs>
        <w:tab w:val="clear" w:pos="360"/>
      </w:tabs>
      <w:spacing w:before="0" w:beforeLines="0" w:after="0" w:afterLines="0"/>
    </w:pPr>
    <w:rPr>
      <w:rFonts w:ascii="宋体" w:eastAsia="宋体"/>
      <w:szCs w:val="21"/>
    </w:rPr>
  </w:style>
  <w:style w:type="paragraph" w:customStyle="1" w:styleId="112">
    <w:name w:val="附录图标号"/>
    <w:basedOn w:val="1"/>
    <w:autoRedefine/>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13">
    <w:name w:val="附录图标题"/>
    <w:basedOn w:val="1"/>
    <w:next w:val="26"/>
    <w:autoRedefine/>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14">
    <w:name w:val="附录五级条标题"/>
    <w:basedOn w:val="110"/>
    <w:next w:val="26"/>
    <w:autoRedefine/>
    <w:qFormat/>
    <w:uiPriority w:val="0"/>
    <w:pPr>
      <w:numPr>
        <w:ilvl w:val="6"/>
      </w:numPr>
      <w:outlineLvl w:val="6"/>
    </w:pPr>
  </w:style>
  <w:style w:type="paragraph" w:customStyle="1" w:styleId="115">
    <w:name w:val="附录五级无"/>
    <w:basedOn w:val="114"/>
    <w:autoRedefine/>
    <w:qFormat/>
    <w:uiPriority w:val="0"/>
    <w:pPr>
      <w:tabs>
        <w:tab w:val="clear" w:pos="360"/>
      </w:tabs>
      <w:spacing w:before="0" w:beforeLines="0" w:after="0" w:afterLines="0"/>
    </w:pPr>
    <w:rPr>
      <w:rFonts w:ascii="宋体" w:eastAsia="宋体"/>
      <w:szCs w:val="21"/>
    </w:rPr>
  </w:style>
  <w:style w:type="paragraph" w:customStyle="1" w:styleId="116">
    <w:name w:val="附录章标题"/>
    <w:next w:val="26"/>
    <w:autoRedefine/>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7">
    <w:name w:val="附录一级条标题"/>
    <w:basedOn w:val="116"/>
    <w:next w:val="26"/>
    <w:autoRedefine/>
    <w:qFormat/>
    <w:uiPriority w:val="0"/>
    <w:pPr>
      <w:numPr>
        <w:ilvl w:val="2"/>
      </w:numPr>
      <w:autoSpaceDN w:val="0"/>
      <w:spacing w:before="50" w:beforeLines="50" w:after="50" w:afterLines="50"/>
      <w:outlineLvl w:val="2"/>
    </w:pPr>
  </w:style>
  <w:style w:type="paragraph" w:customStyle="1" w:styleId="118">
    <w:name w:val="附录一级无"/>
    <w:basedOn w:val="117"/>
    <w:autoRedefine/>
    <w:qFormat/>
    <w:uiPriority w:val="0"/>
    <w:pPr>
      <w:tabs>
        <w:tab w:val="clear" w:pos="360"/>
      </w:tabs>
      <w:spacing w:before="0" w:beforeLines="0" w:after="0" w:afterLines="0"/>
    </w:pPr>
    <w:rPr>
      <w:rFonts w:ascii="宋体" w:eastAsia="宋体"/>
      <w:szCs w:val="21"/>
    </w:rPr>
  </w:style>
  <w:style w:type="paragraph" w:customStyle="1" w:styleId="119">
    <w:name w:val="附录字母编号列项（一级）"/>
    <w:autoRedefine/>
    <w:qFormat/>
    <w:uiPriority w:val="0"/>
    <w:pPr>
      <w:numPr>
        <w:ilvl w:val="0"/>
        <w:numId w:val="12"/>
      </w:numPr>
    </w:pPr>
    <w:rPr>
      <w:rFonts w:ascii="宋体" w:hAnsi="Times New Roman" w:eastAsia="宋体" w:cs="Times New Roman"/>
      <w:sz w:val="21"/>
      <w:lang w:val="en-US" w:eastAsia="zh-CN" w:bidi="ar-SA"/>
    </w:rPr>
  </w:style>
  <w:style w:type="paragraph" w:customStyle="1" w:styleId="120">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1">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23">
    <w:name w:val="其他标准标志"/>
    <w:basedOn w:val="80"/>
    <w:autoRedefine/>
    <w:qFormat/>
    <w:uiPriority w:val="0"/>
    <w:pPr>
      <w:framePr w:w="6101" w:wrap="around" w:vAnchor="page" w:hAnchor="page" w:x="4673" w:y="942"/>
    </w:pPr>
    <w:rPr>
      <w:w w:val="130"/>
    </w:rPr>
  </w:style>
  <w:style w:type="paragraph" w:customStyle="1" w:styleId="124">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5">
    <w:name w:val="其他发布部门"/>
    <w:basedOn w:val="88"/>
    <w:autoRedefine/>
    <w:qFormat/>
    <w:uiPriority w:val="0"/>
    <w:pPr>
      <w:framePr w:wrap="around" w:y="15310"/>
      <w:spacing w:line="0" w:lineRule="atLeast"/>
    </w:pPr>
    <w:rPr>
      <w:rFonts w:ascii="黑体" w:eastAsia="黑体"/>
      <w:b w:val="0"/>
    </w:rPr>
  </w:style>
  <w:style w:type="paragraph" w:customStyle="1" w:styleId="126">
    <w:name w:val="前言、引言标题"/>
    <w:next w:val="26"/>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7">
    <w:name w:val="三级无"/>
    <w:basedOn w:val="65"/>
    <w:autoRedefine/>
    <w:qFormat/>
    <w:uiPriority w:val="0"/>
    <w:pPr>
      <w:spacing w:before="0" w:beforeLines="0" w:after="0" w:afterLines="0"/>
    </w:pPr>
    <w:rPr>
      <w:rFonts w:ascii="宋体" w:eastAsia="宋体"/>
    </w:rPr>
  </w:style>
  <w:style w:type="paragraph" w:customStyle="1" w:styleId="128">
    <w:name w:val="实施日期"/>
    <w:basedOn w:val="89"/>
    <w:autoRedefine/>
    <w:qFormat/>
    <w:uiPriority w:val="0"/>
    <w:pPr>
      <w:framePr w:wrap="around" w:vAnchor="page" w:hAnchor="text"/>
      <w:jc w:val="right"/>
    </w:pPr>
  </w:style>
  <w:style w:type="paragraph" w:customStyle="1" w:styleId="129">
    <w:name w:val="示例后文字"/>
    <w:basedOn w:val="26"/>
    <w:next w:val="26"/>
    <w:autoRedefine/>
    <w:qFormat/>
    <w:uiPriority w:val="0"/>
    <w:pPr>
      <w:ind w:firstLine="360"/>
    </w:pPr>
    <w:rPr>
      <w:sz w:val="18"/>
    </w:rPr>
  </w:style>
  <w:style w:type="paragraph" w:customStyle="1" w:styleId="130">
    <w:name w:val="首示例"/>
    <w:next w:val="26"/>
    <w:link w:val="131"/>
    <w:autoRedefine/>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31">
    <w:name w:val="首示例 Char"/>
    <w:link w:val="130"/>
    <w:autoRedefine/>
    <w:qFormat/>
    <w:uiPriority w:val="0"/>
    <w:rPr>
      <w:rFonts w:ascii="宋体" w:hAnsi="宋体"/>
      <w:kern w:val="2"/>
      <w:sz w:val="18"/>
      <w:szCs w:val="18"/>
      <w:lang w:bidi="ar-SA"/>
    </w:rPr>
  </w:style>
  <w:style w:type="paragraph" w:customStyle="1" w:styleId="132">
    <w:name w:val="四级无"/>
    <w:basedOn w:val="69"/>
    <w:autoRedefine/>
    <w:qFormat/>
    <w:uiPriority w:val="0"/>
    <w:pPr>
      <w:spacing w:before="0" w:beforeLines="0" w:after="0" w:afterLines="0"/>
    </w:pPr>
    <w:rPr>
      <w:rFonts w:ascii="宋体" w:eastAsia="宋体"/>
    </w:rPr>
  </w:style>
  <w:style w:type="paragraph" w:customStyle="1" w:styleId="133">
    <w:name w:val="条文脚注"/>
    <w:basedOn w:val="27"/>
    <w:autoRedefine/>
    <w:qFormat/>
    <w:uiPriority w:val="0"/>
    <w:pPr>
      <w:numPr>
        <w:numId w:val="0"/>
      </w:numPr>
      <w:jc w:val="both"/>
    </w:pPr>
  </w:style>
  <w:style w:type="paragraph" w:customStyle="1" w:styleId="134">
    <w:name w:val="图标脚注说明"/>
    <w:basedOn w:val="26"/>
    <w:autoRedefine/>
    <w:qFormat/>
    <w:uiPriority w:val="0"/>
    <w:pPr>
      <w:ind w:left="840" w:hanging="420" w:firstLineChars="0"/>
    </w:pPr>
    <w:rPr>
      <w:sz w:val="18"/>
      <w:szCs w:val="18"/>
    </w:rPr>
  </w:style>
  <w:style w:type="paragraph" w:customStyle="1" w:styleId="135">
    <w:name w:val="图表脚注说明"/>
    <w:basedOn w:val="1"/>
    <w:autoRedefine/>
    <w:qFormat/>
    <w:uiPriority w:val="0"/>
    <w:pPr>
      <w:numPr>
        <w:ilvl w:val="0"/>
        <w:numId w:val="15"/>
      </w:numPr>
    </w:pPr>
    <w:rPr>
      <w:rFonts w:ascii="宋体"/>
      <w:sz w:val="18"/>
      <w:szCs w:val="18"/>
    </w:rPr>
  </w:style>
  <w:style w:type="paragraph" w:customStyle="1" w:styleId="136">
    <w:name w:val="图的脚注"/>
    <w:next w:val="26"/>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7">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8">
    <w:name w:val="五级无"/>
    <w:basedOn w:val="70"/>
    <w:autoRedefine/>
    <w:qFormat/>
    <w:uiPriority w:val="0"/>
    <w:pPr>
      <w:spacing w:before="0" w:beforeLines="0" w:after="0" w:afterLines="0"/>
    </w:pPr>
    <w:rPr>
      <w:rFonts w:ascii="宋体" w:eastAsia="宋体"/>
    </w:rPr>
  </w:style>
  <w:style w:type="paragraph" w:customStyle="1" w:styleId="139">
    <w:name w:val="一级无"/>
    <w:basedOn w:val="56"/>
    <w:autoRedefine/>
    <w:qFormat/>
    <w:uiPriority w:val="0"/>
    <w:pPr>
      <w:spacing w:before="0" w:beforeLines="0" w:after="0" w:afterLines="0"/>
    </w:pPr>
    <w:rPr>
      <w:rFonts w:ascii="宋体" w:eastAsia="宋体"/>
    </w:rPr>
  </w:style>
  <w:style w:type="paragraph" w:customStyle="1" w:styleId="140">
    <w:name w:val="正文表标题"/>
    <w:next w:val="26"/>
    <w:autoRedefine/>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41">
    <w:name w:val="正文公式编号制表符"/>
    <w:basedOn w:val="26"/>
    <w:next w:val="26"/>
    <w:autoRedefine/>
    <w:qFormat/>
    <w:uiPriority w:val="0"/>
    <w:pPr>
      <w:ind w:firstLine="0" w:firstLineChars="0"/>
    </w:pPr>
  </w:style>
  <w:style w:type="paragraph" w:customStyle="1" w:styleId="142">
    <w:name w:val="正文图标题"/>
    <w:next w:val="26"/>
    <w:autoRedefine/>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43">
    <w:name w:val="终结线"/>
    <w:basedOn w:val="1"/>
    <w:autoRedefine/>
    <w:qFormat/>
    <w:uiPriority w:val="0"/>
    <w:pPr>
      <w:framePr w:hSpace="181" w:vSpace="181" w:wrap="around" w:vAnchor="text" w:hAnchor="margin" w:xAlign="center" w:y="285"/>
    </w:pPr>
  </w:style>
  <w:style w:type="paragraph" w:customStyle="1" w:styleId="144">
    <w:name w:val="其他发布日期"/>
    <w:basedOn w:val="89"/>
    <w:autoRedefine/>
    <w:qFormat/>
    <w:uiPriority w:val="0"/>
    <w:pPr>
      <w:framePr w:wrap="around" w:vAnchor="page" w:hAnchor="text" w:x="1419"/>
    </w:pPr>
  </w:style>
  <w:style w:type="paragraph" w:customStyle="1" w:styleId="145">
    <w:name w:val="其他实施日期"/>
    <w:basedOn w:val="128"/>
    <w:autoRedefine/>
    <w:qFormat/>
    <w:uiPriority w:val="0"/>
    <w:pPr>
      <w:framePr w:wrap="around"/>
    </w:pPr>
  </w:style>
  <w:style w:type="paragraph" w:customStyle="1" w:styleId="146">
    <w:name w:val="封面标准名称2"/>
    <w:basedOn w:val="92"/>
    <w:autoRedefine/>
    <w:qFormat/>
    <w:uiPriority w:val="0"/>
    <w:pPr>
      <w:framePr w:wrap="around" w:y="4469"/>
      <w:spacing w:before="630" w:beforeLines="630"/>
    </w:pPr>
  </w:style>
  <w:style w:type="paragraph" w:customStyle="1" w:styleId="147">
    <w:name w:val="封面标准英文名称2"/>
    <w:basedOn w:val="93"/>
    <w:autoRedefine/>
    <w:qFormat/>
    <w:uiPriority w:val="0"/>
    <w:pPr>
      <w:framePr w:wrap="around" w:y="4469"/>
    </w:pPr>
  </w:style>
  <w:style w:type="paragraph" w:customStyle="1" w:styleId="148">
    <w:name w:val="封面一致性程度标识2"/>
    <w:basedOn w:val="94"/>
    <w:autoRedefine/>
    <w:qFormat/>
    <w:uiPriority w:val="0"/>
    <w:pPr>
      <w:framePr w:wrap="around" w:y="4469"/>
    </w:pPr>
  </w:style>
  <w:style w:type="paragraph" w:customStyle="1" w:styleId="149">
    <w:name w:val="封面标准文稿类别2"/>
    <w:basedOn w:val="95"/>
    <w:autoRedefine/>
    <w:qFormat/>
    <w:uiPriority w:val="0"/>
    <w:pPr>
      <w:framePr w:wrap="around" w:y="4469"/>
    </w:pPr>
  </w:style>
  <w:style w:type="paragraph" w:customStyle="1" w:styleId="150">
    <w:name w:val="封面标准文稿编辑信息2"/>
    <w:basedOn w:val="96"/>
    <w:autoRedefine/>
    <w:qFormat/>
    <w:uiPriority w:val="0"/>
    <w:pPr>
      <w:framePr w:wrap="around" w:y="4469"/>
    </w:pPr>
  </w:style>
  <w:style w:type="character" w:customStyle="1" w:styleId="151">
    <w:name w:val="段 Char Char"/>
    <w:autoRedefine/>
    <w:qFormat/>
    <w:uiPriority w:val="0"/>
    <w:rPr>
      <w:rFonts w:ascii="宋体"/>
      <w:sz w:val="21"/>
      <w:lang w:val="en-US" w:eastAsia="zh-CN" w:bidi="ar-SA"/>
    </w:rPr>
  </w:style>
  <w:style w:type="paragraph" w:styleId="152">
    <w:name w:val="List Paragraph"/>
    <w:basedOn w:val="1"/>
    <w:autoRedefine/>
    <w:qFormat/>
    <w:uiPriority w:val="34"/>
    <w:pPr>
      <w:ind w:firstLine="420" w:firstLineChars="200"/>
    </w:pPr>
  </w:style>
  <w:style w:type="paragraph" w:customStyle="1" w:styleId="153">
    <w:name w:val="WPSOffice手动目录 1"/>
    <w:autoRedefine/>
    <w:qFormat/>
    <w:uiPriority w:val="0"/>
    <w:rPr>
      <w:rFonts w:ascii="Times New Roman" w:hAnsi="Times New Roman" w:eastAsia="宋体" w:cs="Times New Roman"/>
      <w:lang w:val="en-US" w:eastAsia="zh-CN" w:bidi="ar-SA"/>
    </w:rPr>
  </w:style>
  <w:style w:type="paragraph" w:customStyle="1" w:styleId="154">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5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56">
    <w:name w:val="Default"/>
    <w:autoRedefine/>
    <w:qFormat/>
    <w:uiPriority w:val="0"/>
    <w:pPr>
      <w:widowControl w:val="0"/>
      <w:autoSpaceDE w:val="0"/>
      <w:autoSpaceDN w:val="0"/>
      <w:adjustRightInd w:val="0"/>
    </w:pPr>
    <w:rPr>
      <w:rFonts w:ascii="宋体" w:hAnsi="Times New Roman" w:eastAsia="宋体" w:cs="Times New Roman"/>
      <w:lang w:val="en-US" w:eastAsia="zh-CN" w:bidi="ar-SA"/>
    </w:rPr>
  </w:style>
  <w:style w:type="paragraph" w:customStyle="1" w:styleId="157">
    <w:name w:val="明显引用1"/>
    <w:basedOn w:val="1"/>
    <w:next w:val="1"/>
    <w:autoRedefine/>
    <w:qFormat/>
    <w:uiPriority w:val="30"/>
    <w:pPr>
      <w:pBdr>
        <w:bottom w:val="single" w:color="4F81BD" w:sz="4" w:space="4"/>
      </w:pBdr>
      <w:spacing w:before="200" w:after="280"/>
      <w:ind w:left="936" w:right="936"/>
    </w:pPr>
    <w:rPr>
      <w:b/>
      <w:bCs/>
      <w:i/>
      <w:iCs/>
      <w:color w:val="4F81BD"/>
    </w:rPr>
  </w:style>
  <w:style w:type="paragraph" w:customStyle="1" w:styleId="158">
    <w:name w:val="MTDisplayEquation"/>
    <w:basedOn w:val="1"/>
    <w:next w:val="1"/>
    <w:qFormat/>
    <w:uiPriority w:val="0"/>
    <w:pPr>
      <w:widowControl/>
      <w:tabs>
        <w:tab w:val="center" w:pos="4338"/>
        <w:tab w:val="center" w:pos="4820"/>
        <w:tab w:val="right" w:pos="8675"/>
        <w:tab w:val="right" w:pos="9640"/>
      </w:tabs>
      <w:spacing w:line="240" w:lineRule="auto"/>
      <w:jc w:val="right"/>
    </w:pPr>
    <w:rPr>
      <w:kern w:val="0"/>
      <w:szCs w:val="21"/>
    </w:rPr>
  </w:style>
  <w:style w:type="paragraph" w:customStyle="1" w:styleId="159">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0">
    <w:name w:val="标准文件_术语条一"/>
    <w:basedOn w:val="161"/>
    <w:next w:val="159"/>
    <w:autoRedefine/>
    <w:qFormat/>
    <w:uiPriority w:val="0"/>
  </w:style>
  <w:style w:type="paragraph" w:customStyle="1" w:styleId="161">
    <w:name w:val="标准文件_一级无标题"/>
    <w:basedOn w:val="162"/>
    <w:qFormat/>
    <w:uiPriority w:val="0"/>
    <w:pPr>
      <w:spacing w:before="0" w:beforeLines="0" w:after="0" w:afterLines="0"/>
      <w:outlineLvl w:val="9"/>
    </w:pPr>
    <w:rPr>
      <w:rFonts w:ascii="宋体" w:eastAsia="宋体"/>
    </w:rPr>
  </w:style>
  <w:style w:type="paragraph" w:customStyle="1" w:styleId="162">
    <w:name w:val="标准文件_一级条标题"/>
    <w:basedOn w:val="163"/>
    <w:next w:val="159"/>
    <w:autoRedefine/>
    <w:qFormat/>
    <w:uiPriority w:val="0"/>
    <w:pPr>
      <w:numPr>
        <w:ilvl w:val="2"/>
      </w:numPr>
      <w:spacing w:before="50" w:beforeLines="50" w:after="50" w:afterLines="50"/>
      <w:outlineLvl w:val="1"/>
    </w:pPr>
  </w:style>
  <w:style w:type="paragraph" w:customStyle="1" w:styleId="163">
    <w:name w:val="标准文件_章标题"/>
    <w:next w:val="159"/>
    <w:autoRedefine/>
    <w:qFormat/>
    <w:uiPriority w:val="0"/>
    <w:pPr>
      <w:numPr>
        <w:ilvl w:val="1"/>
        <w:numId w:val="1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64">
    <w:name w:val="标准文件_注："/>
    <w:next w:val="159"/>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165">
    <w:name w:val="标准文件_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166">
    <w:name w:val="标准文件_正文公式"/>
    <w:basedOn w:val="1"/>
    <w:next w:val="167"/>
    <w:autoRedefine/>
    <w:qFormat/>
    <w:uiPriority w:val="0"/>
    <w:pPr>
      <w:tabs>
        <w:tab w:val="center" w:pos="4678"/>
        <w:tab w:val="right" w:leader="middleDot" w:pos="9356"/>
      </w:tabs>
      <w:spacing w:line="240" w:lineRule="auto"/>
    </w:pPr>
    <w:rPr>
      <w:rFonts w:ascii="宋体" w:hAnsi="宋体"/>
    </w:rPr>
  </w:style>
  <w:style w:type="paragraph" w:customStyle="1" w:styleId="167">
    <w:name w:val="标准文件_标准正文"/>
    <w:basedOn w:val="1"/>
    <w:next w:val="159"/>
    <w:autoRedefine/>
    <w:qFormat/>
    <w:uiPriority w:val="0"/>
    <w:pPr>
      <w:snapToGrid w:val="0"/>
      <w:ind w:firstLine="200" w:firstLineChars="200"/>
    </w:pPr>
    <w:rPr>
      <w:kern w:val="0"/>
    </w:rPr>
  </w:style>
  <w:style w:type="paragraph" w:customStyle="1" w:styleId="168">
    <w:name w:val="标准文件_正文表标题"/>
    <w:next w:val="159"/>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69">
    <w:name w:val="标准文件_二级条标题"/>
    <w:next w:val="159"/>
    <w:autoRedefine/>
    <w:qFormat/>
    <w:uiPriority w:val="0"/>
    <w:pPr>
      <w:widowControl w:val="0"/>
      <w:numPr>
        <w:ilvl w:val="3"/>
        <w:numId w:val="1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70">
    <w:name w:val="标准文件_三级条标题"/>
    <w:basedOn w:val="169"/>
    <w:next w:val="159"/>
    <w:autoRedefine/>
    <w:qFormat/>
    <w:uiPriority w:val="0"/>
    <w:pPr>
      <w:widowControl/>
      <w:numPr>
        <w:ilvl w:val="4"/>
      </w:numPr>
      <w:outlineLvl w:val="3"/>
    </w:pPr>
  </w:style>
  <w:style w:type="paragraph" w:customStyle="1" w:styleId="171">
    <w:name w:val="标准文件_附录标识"/>
    <w:next w:val="159"/>
    <w:autoRedefine/>
    <w:qFormat/>
    <w:uiPriority w:val="0"/>
    <w:pPr>
      <w:numPr>
        <w:ilvl w:val="0"/>
        <w:numId w:val="10"/>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72">
    <w:name w:val="标准文件_附录表标题"/>
    <w:next w:val="159"/>
    <w:autoRedefine/>
    <w:qFormat/>
    <w:uiPriority w:val="0"/>
    <w:pPr>
      <w:numPr>
        <w:ilvl w:val="1"/>
        <w:numId w:val="20"/>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73">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17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75">
    <w:name w:val="标准文件_页脚奇数页"/>
    <w:autoRedefine/>
    <w:qFormat/>
    <w:uiPriority w:val="0"/>
    <w:pPr>
      <w:ind w:right="227"/>
      <w:jc w:val="right"/>
    </w:pPr>
    <w:rPr>
      <w:rFonts w:ascii="宋体"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0" Type="http://schemas.openxmlformats.org/officeDocument/2006/relationships/glossaryDocument" Target="glossary/document.xml"/><Relationship Id="rId7" Type="http://schemas.openxmlformats.org/officeDocument/2006/relationships/footer" Target="footer2.xml"/><Relationship Id="rId69" Type="http://schemas.openxmlformats.org/officeDocument/2006/relationships/fontTable" Target="fontTable.xml"/><Relationship Id="rId68" Type="http://schemas.openxmlformats.org/officeDocument/2006/relationships/customXml" Target="../customXml/item5.xml"/><Relationship Id="rId67" Type="http://schemas.openxmlformats.org/officeDocument/2006/relationships/customXml" Target="../customXml/item4.xml"/><Relationship Id="rId66" Type="http://schemas.openxmlformats.org/officeDocument/2006/relationships/customXml" Target="../customXml/item3.xml"/><Relationship Id="rId65" Type="http://schemas.openxmlformats.org/officeDocument/2006/relationships/customXml" Target="../customXml/item2.xml"/><Relationship Id="rId64" Type="http://schemas.openxmlformats.org/officeDocument/2006/relationships/numbering" Target="numbering.xml"/><Relationship Id="rId63" Type="http://schemas.openxmlformats.org/officeDocument/2006/relationships/customXml" Target="../customXml/item1.xml"/><Relationship Id="rId62" Type="http://schemas.openxmlformats.org/officeDocument/2006/relationships/image" Target="media/image27.wmf"/><Relationship Id="rId61" Type="http://schemas.openxmlformats.org/officeDocument/2006/relationships/oleObject" Target="embeddings/oleObject20.bin"/><Relationship Id="rId60" Type="http://schemas.openxmlformats.org/officeDocument/2006/relationships/image" Target="media/image26.wmf"/><Relationship Id="rId6" Type="http://schemas.openxmlformats.org/officeDocument/2006/relationships/header" Target="header2.xml"/><Relationship Id="rId59" Type="http://schemas.openxmlformats.org/officeDocument/2006/relationships/oleObject" Target="embeddings/oleObject19.bin"/><Relationship Id="rId58" Type="http://schemas.openxmlformats.org/officeDocument/2006/relationships/image" Target="media/image25.wmf"/><Relationship Id="rId57" Type="http://schemas.openxmlformats.org/officeDocument/2006/relationships/oleObject" Target="embeddings/oleObject18.bin"/><Relationship Id="rId56" Type="http://schemas.openxmlformats.org/officeDocument/2006/relationships/image" Target="media/image24.wmf"/><Relationship Id="rId55" Type="http://schemas.openxmlformats.org/officeDocument/2006/relationships/oleObject" Target="embeddings/oleObject17.bin"/><Relationship Id="rId54" Type="http://schemas.openxmlformats.org/officeDocument/2006/relationships/image" Target="media/image23.wmf"/><Relationship Id="rId53" Type="http://schemas.openxmlformats.org/officeDocument/2006/relationships/oleObject" Target="embeddings/oleObject16.bin"/><Relationship Id="rId52" Type="http://schemas.openxmlformats.org/officeDocument/2006/relationships/image" Target="media/image22.wmf"/><Relationship Id="rId51" Type="http://schemas.openxmlformats.org/officeDocument/2006/relationships/oleObject" Target="embeddings/oleObject15.bin"/><Relationship Id="rId50" Type="http://schemas.openxmlformats.org/officeDocument/2006/relationships/image" Target="media/image21.wmf"/><Relationship Id="rId5" Type="http://schemas.openxmlformats.org/officeDocument/2006/relationships/footer" Target="footer1.xml"/><Relationship Id="rId49" Type="http://schemas.openxmlformats.org/officeDocument/2006/relationships/oleObject" Target="embeddings/oleObject14.bin"/><Relationship Id="rId48" Type="http://schemas.openxmlformats.org/officeDocument/2006/relationships/image" Target="media/image20.wmf"/><Relationship Id="rId47" Type="http://schemas.openxmlformats.org/officeDocument/2006/relationships/oleObject" Target="embeddings/oleObject13.bin"/><Relationship Id="rId46" Type="http://schemas.openxmlformats.org/officeDocument/2006/relationships/image" Target="media/image19.wmf"/><Relationship Id="rId45" Type="http://schemas.openxmlformats.org/officeDocument/2006/relationships/oleObject" Target="embeddings/oleObject12.bin"/><Relationship Id="rId44" Type="http://schemas.openxmlformats.org/officeDocument/2006/relationships/image" Target="media/image18.wmf"/><Relationship Id="rId43" Type="http://schemas.openxmlformats.org/officeDocument/2006/relationships/oleObject" Target="embeddings/oleObject11.bin"/><Relationship Id="rId42" Type="http://schemas.openxmlformats.org/officeDocument/2006/relationships/image" Target="media/image17.wmf"/><Relationship Id="rId41" Type="http://schemas.openxmlformats.org/officeDocument/2006/relationships/oleObject" Target="embeddings/oleObject10.bin"/><Relationship Id="rId40" Type="http://schemas.openxmlformats.org/officeDocument/2006/relationships/image" Target="media/image16.wmf"/><Relationship Id="rId4" Type="http://schemas.openxmlformats.org/officeDocument/2006/relationships/header" Target="header1.xml"/><Relationship Id="rId39" Type="http://schemas.openxmlformats.org/officeDocument/2006/relationships/oleObject" Target="embeddings/oleObject9.bin"/><Relationship Id="rId38" Type="http://schemas.openxmlformats.org/officeDocument/2006/relationships/image" Target="media/image15.wmf"/><Relationship Id="rId37" Type="http://schemas.openxmlformats.org/officeDocument/2006/relationships/oleObject" Target="embeddings/oleObject8.bin"/><Relationship Id="rId36" Type="http://schemas.openxmlformats.org/officeDocument/2006/relationships/image" Target="media/image14.wmf"/><Relationship Id="rId35" Type="http://schemas.openxmlformats.org/officeDocument/2006/relationships/oleObject" Target="embeddings/oleObject7.bin"/><Relationship Id="rId34" Type="http://schemas.openxmlformats.org/officeDocument/2006/relationships/image" Target="media/image13.wmf"/><Relationship Id="rId33" Type="http://schemas.openxmlformats.org/officeDocument/2006/relationships/oleObject" Target="embeddings/oleObject6.bin"/><Relationship Id="rId32" Type="http://schemas.openxmlformats.org/officeDocument/2006/relationships/image" Target="media/image12.wmf"/><Relationship Id="rId31" Type="http://schemas.openxmlformats.org/officeDocument/2006/relationships/oleObject" Target="embeddings/oleObject5.bin"/><Relationship Id="rId30" Type="http://schemas.openxmlformats.org/officeDocument/2006/relationships/image" Target="media/image11.wmf"/><Relationship Id="rId3" Type="http://schemas.openxmlformats.org/officeDocument/2006/relationships/footnotes" Target="footnotes.xml"/><Relationship Id="rId29" Type="http://schemas.openxmlformats.org/officeDocument/2006/relationships/oleObject" Target="embeddings/oleObject4.bin"/><Relationship Id="rId28" Type="http://schemas.openxmlformats.org/officeDocument/2006/relationships/image" Target="media/image10.wmf"/><Relationship Id="rId27" Type="http://schemas.openxmlformats.org/officeDocument/2006/relationships/oleObject" Target="embeddings/oleObject3.bin"/><Relationship Id="rId26" Type="http://schemas.openxmlformats.org/officeDocument/2006/relationships/image" Target="media/image9.wmf"/><Relationship Id="rId25" Type="http://schemas.openxmlformats.org/officeDocument/2006/relationships/oleObject" Target="embeddings/oleObject2.bin"/><Relationship Id="rId24" Type="http://schemas.openxmlformats.org/officeDocument/2006/relationships/image" Target="media/image8.wmf"/><Relationship Id="rId23" Type="http://schemas.openxmlformats.org/officeDocument/2006/relationships/oleObject" Target="embeddings/oleObject1.bin"/><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4.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44f484a-3207-4dcd-ac15-2e17562d0776}"/>
        <w:style w:val=""/>
        <w:category>
          <w:name w:val="常规"/>
          <w:gallery w:val="placeholder"/>
        </w:category>
        <w:types>
          <w:type w:val="bbPlcHdr"/>
        </w:types>
        <w:behaviors>
          <w:behavior w:val="content"/>
        </w:behaviors>
        <w:description w:val=""/>
        <w:guid w:val="{c44f484a-3207-4dcd-ac15-2e17562d0776}"/>
      </w:docPartPr>
      <w:docPartBody>
        <w:p>
          <w:pPr>
            <w:pStyle w:val="2"/>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autoRedefine/>
    <w:semiHidden/>
    <w:unhideWhenUsed/>
    <w:qFormat/>
    <w:uiPriority w:val="1"/>
  </w:style>
  <w:style w:type="paragraph" w:customStyle="1" w:styleId="2">
    <w:name w:val="87CD6C70E0B448968D8A33F0028D7F2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autoRedefine/>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ReviewRoot xmlns="http://www.founder.com/review">
  <DuplicateChecking Path="C:\Users\admin\AppData\Local\Temp\e4febf26-3e27-4f45-b18b-92fe21c7c506.xml"/>
  <Review inspectType="标点符号检查" inspectCategory="可疑" rule="" lookup="建议修改为可书写在段尾的标点符号" content="—" source="" errorType="102" AllIndex="0" context=" accounting and reporting—" id="1063802" bkName="bkReivew1063802" note="0" index="25"/>
  <Review inspectType="易错词检查" inspectCategory="错误" rule="" lookup="Ⅱ" content="II" source="" errorType="6" AllIndex="0" context="前   言II" id="3141805" bkName="bkReivew3141805" note="0" index="5"/>
  <Review inspectType="易错词检查" inspectCategory="错误" rule="" lookup="核酸" content="核算" source="" errorType="0" AllIndex="0" context="4 核算边界3" id="2011002" bkName="bkReivew2011002" note="0" index="2"/>
  <Review inspectType="易错词检查" inspectCategory="错误" rule="" lookup="改版" content="改单" source="" errorType="0" AllIndex="0" context="文件；不注日期的引用文件，其最新版本（包括所有的修改单）适用于本文件。" id="33024" bkName="bkReivew33024" note="0" index="25"/>
  <Review inspectType="译文检查" inspectCategory="错误" rule="" lookup="greenhouse gasses" content="greenhouse gas" source="" errorType="1" AllIndex="0" context="温室气体 greenhouse gas" id="1042342" bkName="bkReivew1042342" note="0" index="5"/>
  <Review inspectType="标点符号检查" inspectCategory="可疑" rule="" lookup="（" content="(" source="建议使用对应的全角标点符号" errorType="101" AllIndex="0" context="包括：二氧化碳（CO2）、甲烷（CH4）、氧化亚氮(N2O)、氢氟碳化物(HFCS)、全氟碳化物(PF" id="3071751" bkName="bkReivew3071751" note="0" index="25"/>
  <Review inspectType="标点符号检查" inspectCategory="可疑" rule="" lookup="（" content="(" source="建议使用对应的全角标点符号" errorType="101" AllIndex="0" context="）、甲烷（CH4）、氧化亚氮(N2O)、氢氟碳化物(HFCS)、全氟碳化物(PFCS)、六氟化硫(SF" id="3153616" bkName="bkReivew3153616" note="0" index="25"/>
  <Review inspectType="标点符号检查" inspectCategory="可疑" rule="" lookup="（" content="(" source="建议使用对应的全角标点符号" errorType="101" AllIndex="0" context="亚氮(N2O)、氢氟碳化物(HFCS)、全氟碳化物(PFCS)、六氟化硫(SF6)、三氟化氮(NF3)" id="3050725" bkName="bkReivew3050725" note="0" index="25"/>
  <Review inspectType="标点符号检查" inspectCategory="可疑" rule="" lookup="（" content="(" source="建议使用对应的全角标点符号" errorType="101" AllIndex="0" context="化物(HFCS)、全氟碳化物(PFCS)、六氟化硫(SF6)、三氟化氮(NF3)。" id="1163300" bkName="bkReivew1163300" note="0" index="25"/>
  <Review inspectType="标点符号检查" inspectCategory="可疑" rule="" lookup="（" content="(" source="建议使用对应的全角标点符号" errorType="101" AllIndex="0" context="氟碳化物(PFCS)、六氟化硫(SF6)、三氟化氮(NF3)。" id="1010332" bkName="bkReivew1010332" note="0" index="25"/>
  <Review inspectType="易错词检查" inspectCategory="错误" rule="" lookup="场地" content="厂地" source="" errorType="0" AllIndex="0" context="个公司的资产设施按一定的逻辑（如公司组织管理结构、厂地分布、产业活动分类等）以及不重不漏的原则划分为的几" id="2020236" bkName="bkReivew2020236" note="0" index="25"/>
  <Review inspectType="易错词检查" inspectCategory="错误" rule="" lookup="核酸" content="核算" source="" errorType="0" AllIndex="0" context="核算边界内辅助生产系统（如污水处理系统等）产生的温室气" id="1122840" bkName="bkReivew1122840" note="0" index="0"/>
  <Review inspectType="标点符号检查" inspectCategory="可疑" rule="" lookup="(" content="（" source="建议使用对应的半角标点符号" errorType="101" AllIndex="0" context=" global warming potential（GWP）" id="1161254" bkName="bkReivew1161254" note="0" index="25"/>
  <Review inspectType="易错词检查" inspectCategory="错误" rule="" lookup="场地" content="厂地" source="" errorType="0" AllIndex="0" context="如果报告主体拥有多个分公司、生产厂地或产业活动单位，则报告主体应按一定的逻辑（例如公司" id="2110013" bkName="bkReivew2110013" note="0" index="16"/>
  <Review inspectType="非推荐词" inspectCategory="可疑" rule="" lookup="其他" content="其它" source="" errorType="2" AllIndex="0" context="如果报告主体除玻璃纤维生产外还存在其它产品生产活动（例如矿石原料加工、工业制氧、纤维增强" id="2152722" bkName="bkReivew2152722" note="0" index="17"/>
  <Review inspectType="易错词检查" inspectCategory="错误" rule="" lookup="核酸" content="核算" source="" errorType="0" AllIndex="0" context="玻璃纤维生产企业温室气体排放核算边界示意图见图2。" id="60106" bkName="bkReivew60106" note="0" index="14"/>
  <Review inspectType="易错词检查" inspectCategory="错误" rule="" lookup="核酸" content="核算" source="" errorType="0" AllIndex="0" context="图2 玻璃纤维生产企业温室气体排放核算边界示意图" id="50516" bkName="bkReivew50516" note="0" index="17"/>
  <Review inspectType="易错词检查" inspectCategory="错误" rule="" lookup="核酸" content="核算" source="" errorType="0" AllIndex="0" context="核算边界内辅助生产系统（如污水处理系统等）产生的温室气" id="3153326" bkName="bkReivew3153326" note="0" index="0"/>
  <Review inspectType="非推荐词" inspectCategory="可疑" rule="" lookup="其他" content="其它" source="" errorType="2" AllIndex="0" context="通过技术手段收集或消除的由生产活动产生的二氧化碳及其它温室气体。" id="3170446" bkName="bkReivew3170446" note="0" index="25"/>
  <Review inspectType="易错词检查" inspectCategory="错误" rule="" lookup="基" content="吉" source="" errorType="0" AllIndex="0" context="j种燃料的平均低位发热量。对固体或液体燃料，单位为吉焦每吨（GJ/t）；对气体燃料，单位为吉焦每万标立" id="3020406" bkName="bkReivew3020406" note="0" index="25"/>
  <Review inspectType="易错词检查" inspectCategory="错误" rule="" lookup="值" content="式" source="" errorType="0" AllIndex="0" context="a）购入电力产生的二氧化碳排放量按式（6）计算。" id="3032603" bkName="bkReivew3032603" note="0" index="17"/>
  <Review inspectType="易错词检查" inspectCategory="错误" rule="" lookup="值" content="式" source="" errorType="0" AllIndex="0" context="b）购入热力产生的二氧化碳排放量按式（7）计算。" id="2102643" bkName="bkReivew2102643" note="0" index="17"/>
  <Review inspectType="易错词检查" inspectCategory="错误" rule="" lookup="值" content="式" source="" errorType="0" AllIndex="0" context="c）输出电力产生的二氧化碳排放量按式（8）计算。" id="3030111" bkName="bkReivew3030111" note="0" index="17"/>
  <Review inspectType="易错词检查" inspectCategory="错误" rule="" lookup="值" content="式" source="" errorType="0" AllIndex="0" context="d）输出热力产生的二氧化碳排放量按式（9）计算。" id="113756" bkName="bkReivew113756" note="0" index="17"/>
  <Review inspectType="易错词检查" inspectCategory="错误" rule="" lookup="核酸" content="核算" source="" errorType="0" AllIndex="0" context="华中、西北、南方电网划分，选用国家主管部门公布的与核算时间最接近的相应区域电网排放因子。" id="131632" bkName="bkReivew131632" note="0" index="25"/>
  <Review inspectType="易错词检查" inspectCategory="错误" rule="" lookup="值" content="式" source="" errorType="0" AllIndex="0" context="每个核算单元回收且外供的二氧化碳量按式（10）计算" id="1083226" bkName="bkReivew1083226" note="0" index="18"/>
  <Review inspectType="易错词检查" inspectCategory="错误" rule="" lookup="值" content="式" source="" errorType="0" AllIndex="0" context="b）污水中可降解有机物的总量，可按式（12）计算。" id="3122445" bkName="bkReivew3122445" note="0" index="17"/>
  <Review inspectType="标点符号检查" inspectCategory="可疑" rule="" lookup=")" content="）" source="建议使用对应的半角标点符号" errorType="101" AllIndex="0" context="d）CH4折算CO2当量，可按式（14）计算。" id="2080212" bkName="bkReivew2080212" note="0" index="1"/>
  <Review inspectType="易错词检查" inspectCategory="错误" rule="" lookup="取决" content="取缺" source="" errorType="0" AllIndex="0" context="力，优先根据主管部门发布的官方数据进行更新，其次可取缺省值0.25kgCH4/kgCOD。对污水处理系统" id="1161323" bkName="bkReivew1161323" note="0" index="25"/>
  <Review inspectType="易错词检查" inspectCategory="错误" rule="" lookup="值" content="式" source="" errorType="0" AllIndex="0" context="a）报告主体的CH4回收与销毁量按式（15）计算。" id="12244" bkName="bkReivew12244" note="0" index="17"/>
  <Review inspectType="标点符号检查" inspectCategory="可疑" rule="" lookup=")" content="）" source="建议使用对应的半角标点符号" errorType="101" AllIndex="0" context="e）CH4回收销毁量折算CO2当量可按式（19）计算。" id="182240" bkName="bkReivew182240" note="0" index="1"/>
  <Review inspectType="易错词检查" inspectCategory="错误" rule="" lookup="平均" content="平局" source="" errorType="0" AllIndex="0" context="出口气流中CH4气体含量变化，以测算火炬销毁装置的平局销毁效率。至少每月进行一次测量，作为上一次测量以来" id="3051740" bkName="bkReivew3051740" note="0" index="25"/>
  <Review inspectType="易错词检查" inspectCategory="错误" rule="" lookup="设计" content="小计" source="" errorType="0" AllIndex="0" context="报告主体小计" id="2082343" bkName="bkReivew2082343" note="0" index="4"/>
  <Review inspectType="标点符号检查" inspectCategory="错误" rule="" lookup="标点符号叠用" content="..." source="" errorType="105" AllIndex="0" context="..." id="3441" bkName="bkReivew3441" note="0" index="0"/>
  <Review inspectType="易错词检查" inspectCategory="错误" rule="" lookup="进行" content="加行" source="" errorType="0" AllIndex="0" context="活动，并存在本部分未涵盖的温室气体排放环节，应自行加行报告。" id="2052416" bkName="bkReivew2052416" note="0" index="25"/>
  <Review inspectType="易错词检查" inspectCategory="错误" rule="" lookup="进行" content="加行" source="" errorType="0" AllIndex="0" context="活动，并存在本部分未涵盖的温室气体排放环节，应自行加行报告。" id="100553" bkName="bkReivew100553" note="0" index="25"/>
  <Review inspectType="非推荐词" inspectCategory="可疑" rule="" lookup="其他" content="其它" source="" errorType="2" AllIndex="0" context="91%（其它燃烧设备）" id="1011744" bkName="bkReivew1011744" note="0" index="4"/>
  <Review inspectType="标点符号检查" inspectCategory="可疑" rule="" lookup="(" content="（" source="建议使用对应的半角标点符号" errorType="101" AllIndex="0" context="CaMg（CO3）2" id="1001542" bkName="bkReivew1001542" note="0" index="4"/>
  <Review inspectType="非推荐词" inspectCategory="可疑" rule="" lookup="其他" content="其它" source="" errorType="2" AllIndex="0" context="度存在差异，故应优先采用供应商提供的数据，其次选用其它数据库数据和建议采用排放因子。" id="1180112" bkName="bkReivew1180112" note="0" index="25"/>
  <Review inspectType="易错词检查" inspectCategory="错误" rule="" lookup="核酸" content="核算" source="" errorType="0" AllIndex="0" context="国家主管部门公布的与核算时间最接近的相应区域电网排放因子" id="43442" bkName="bkReivew43442" note="0" index="10"/>
  <Review inspectType="非推荐词" inspectCategory="可疑" rule="" lookup="其他" content="其它" source="" errorType="2" AllIndex="0" context="其它" id="2023131" bkName="bkReivew2023131" note="0" index="0"/>
  <Review inspectType="标点符号检查" inspectCategory="可疑" rule="" lookup="套用错误" content="（" source="" errorType="106" AllIndex="0" context="e Sixth Assessment Report（AR6）.Climate Change 2021：" id="2153534" bkName="bkReivew2153534" note="0" index="25"/>
  <Review inspectType="标点符号检查" inspectCategory="可疑" rule="" lookup="套用错误" content="）" source="" errorType="106" AllIndex="0" context="xth Assessment Report（AR6）.Climate Change 2021：The " id="3182120" bkName="bkReivew3182120" note="0" index="25"/>
</ReviewRoot>
</file>

<file path=customXml/item3.xml><?xml version="1.0" encoding="utf-8"?>
<ReviewRoot xmlns="http://www.founder.com/knowledge"/>
</file>

<file path=customXml/item4.xml><?xml version="1.0" encoding="utf-8"?>
<ReviewRoot xmlns="http://www.founder.com/style">
  <Review xmlPath="C:\Users\admin\Documents\方正审校\Temp\Space\20231107\wordStyle\54561031-2d98-428b-8920-fe0a9c4c5ad5.xml" httpUrl="http://gateway.book.founderss.cn/book-review-api/api/doc/a107a627-f8ab-4533-a13a-9f4058e4159a/docx"/>
</ReviewRoot>
</file>

<file path=customXml/item5.xml><?xml version="1.0" encoding="utf-8"?>
<ReviewRoot xmlns="http://www.founder.com/operation">
  <CorrigendumButton current="2052416" previous="3441"/>
</ReviewRoo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D20E49-813A-46FA-A54E-14FB85A31405}">
  <ds:schemaRefs/>
</ds:datastoreItem>
</file>

<file path=customXml/itemProps3.xml><?xml version="1.0" encoding="utf-8"?>
<ds:datastoreItem xmlns:ds="http://schemas.openxmlformats.org/officeDocument/2006/customXml" ds:itemID="{6F59B154-B510-4125-A295-FC7EF55C8C52}">
  <ds:schemaRefs/>
</ds:datastoreItem>
</file>

<file path=customXml/itemProps4.xml><?xml version="1.0" encoding="utf-8"?>
<ds:datastoreItem xmlns:ds="http://schemas.openxmlformats.org/officeDocument/2006/customXml" ds:itemID="{02728396-5536-4E98-9FE6-5221CA1E183A}">
  <ds:schemaRefs/>
</ds:datastoreItem>
</file>

<file path=customXml/itemProps5.xml><?xml version="1.0" encoding="utf-8"?>
<ds:datastoreItem xmlns:ds="http://schemas.openxmlformats.org/officeDocument/2006/customXml" ds:itemID="{BBF40A6C-C508-42D7-AA4D-7889CD0C4F03}">
  <ds:schemaRefs/>
</ds:datastoreItem>
</file>

<file path=docProps/app.xml><?xml version="1.0" encoding="utf-8"?>
<Properties xmlns="http://schemas.openxmlformats.org/officeDocument/2006/extended-properties" xmlns:vt="http://schemas.openxmlformats.org/officeDocument/2006/docPropsVTypes">
  <Template>Normal</Template>
  <Pages>32</Pages>
  <Words>12758</Words>
  <Characters>14529</Characters>
  <Lines>130</Lines>
  <Paragraphs>36</Paragraphs>
  <TotalTime>4</TotalTime>
  <ScaleCrop>false</ScaleCrop>
  <LinksUpToDate>false</LinksUpToDate>
  <CharactersWithSpaces>15142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2023-11-07T08:43:00Z</dcterms:created>
  <cp:lastPrinted>2020-07-28T07:52:00Z</cp:lastPrinted>
  <dcterms:modified xsi:type="dcterms:W3CDTF">2024-05-21T14:35:53Z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D5736BAA3DDF4B3F8003DB820EF1D1F5_13</vt:lpwstr>
  </property>
</Properties>
</file>